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D64822" w:rsidR="009618A0" w:rsidP="00841B6C" w:rsidRDefault="009618A0" w14:paraId="6D20C88B" w14:textId="77777777">
      <w:pPr>
        <w:jc w:val="center"/>
        <w:rPr>
          <w:rFonts w:ascii="Aptos" w:hAnsi="Aptos" w:cstheme="majorHAnsi"/>
          <w:b/>
          <w:sz w:val="20"/>
          <w:szCs w:val="20"/>
        </w:rPr>
      </w:pPr>
    </w:p>
    <w:p w:rsidRPr="00D64822" w:rsidR="009B7C73" w:rsidP="00841B6C" w:rsidRDefault="005C7247" w14:paraId="1DBA616D" w14:textId="77777777">
      <w:pPr>
        <w:tabs>
          <w:tab w:val="left" w:pos="4265"/>
          <w:tab w:val="center" w:pos="7285"/>
        </w:tabs>
        <w:rPr>
          <w:rFonts w:ascii="Aptos" w:hAnsi="Aptos" w:cstheme="majorHAnsi"/>
          <w:b/>
          <w:sz w:val="20"/>
          <w:szCs w:val="20"/>
        </w:rPr>
      </w:pPr>
      <w:r w:rsidRPr="00D64822">
        <w:rPr>
          <w:rFonts w:ascii="Aptos" w:hAnsi="Aptos" w:cstheme="majorHAnsi"/>
          <w:b/>
          <w:sz w:val="20"/>
          <w:szCs w:val="20"/>
        </w:rPr>
        <w:tab/>
      </w:r>
      <w:r w:rsidRPr="00D64822">
        <w:rPr>
          <w:rFonts w:ascii="Aptos" w:hAnsi="Aptos" w:cstheme="majorHAnsi"/>
          <w:b/>
          <w:sz w:val="20"/>
          <w:szCs w:val="20"/>
        </w:rPr>
        <w:tab/>
      </w:r>
    </w:p>
    <w:p w:rsidRPr="00D64822" w:rsidR="00FC4682" w:rsidP="00841B6C" w:rsidRDefault="0067137A" w14:paraId="12385FDA" w14:textId="77777777">
      <w:pPr>
        <w:tabs>
          <w:tab w:val="left" w:pos="4265"/>
          <w:tab w:val="center" w:pos="7285"/>
        </w:tabs>
        <w:jc w:val="center"/>
        <w:rPr>
          <w:rFonts w:ascii="Aptos" w:hAnsi="Aptos" w:cstheme="majorHAnsi"/>
          <w:b/>
          <w:sz w:val="20"/>
          <w:szCs w:val="20"/>
        </w:rPr>
      </w:pPr>
      <w:r w:rsidRPr="00D64822">
        <w:rPr>
          <w:rFonts w:ascii="Aptos" w:hAnsi="Aptos" w:cstheme="majorHAnsi"/>
          <w:b/>
          <w:sz w:val="20"/>
          <w:szCs w:val="20"/>
        </w:rPr>
        <w:t xml:space="preserve">SPECYFIKACJA </w:t>
      </w:r>
      <w:r w:rsidRPr="00D64822" w:rsidR="008A666E">
        <w:rPr>
          <w:rFonts w:ascii="Aptos" w:hAnsi="Aptos" w:cstheme="majorHAnsi"/>
          <w:b/>
          <w:sz w:val="20"/>
          <w:szCs w:val="20"/>
          <w:lang w:eastAsia="pl-PL"/>
        </w:rPr>
        <w:t>TECHNICZNO-FUNKCJONALNA</w:t>
      </w:r>
    </w:p>
    <w:p w:rsidRPr="00D64822" w:rsidR="008A666E" w:rsidP="00D64822" w:rsidRDefault="00D64822" w14:paraId="17C1EC17" w14:textId="109CD0C3">
      <w:pPr>
        <w:pStyle w:val="Bezodstpw"/>
        <w:jc w:val="center"/>
        <w:rPr>
          <w:rFonts w:ascii="Aptos" w:hAnsi="Aptos" w:cstheme="majorHAnsi"/>
          <w:bCs/>
          <w:sz w:val="20"/>
        </w:rPr>
      </w:pPr>
      <w:r w:rsidRPr="00D64822">
        <w:rPr>
          <w:rFonts w:ascii="Aptos" w:hAnsi="Aptos" w:cstheme="majorHAnsi"/>
          <w:bCs/>
          <w:sz w:val="20"/>
        </w:rPr>
        <w:t xml:space="preserve">Pompa </w:t>
      </w:r>
      <w:proofErr w:type="spellStart"/>
      <w:r w:rsidRPr="00D64822">
        <w:rPr>
          <w:rFonts w:ascii="Aptos" w:hAnsi="Aptos" w:cstheme="majorHAnsi"/>
          <w:bCs/>
          <w:sz w:val="20"/>
        </w:rPr>
        <w:t>infuzyjno</w:t>
      </w:r>
      <w:proofErr w:type="spellEnd"/>
      <w:r w:rsidRPr="00D64822">
        <w:rPr>
          <w:rFonts w:ascii="Aptos" w:hAnsi="Aptos" w:cstheme="majorHAnsi"/>
          <w:bCs/>
          <w:sz w:val="20"/>
        </w:rPr>
        <w:t xml:space="preserve"> - </w:t>
      </w:r>
      <w:proofErr w:type="spellStart"/>
      <w:r w:rsidRPr="00D64822">
        <w:rPr>
          <w:rFonts w:ascii="Aptos" w:hAnsi="Aptos" w:cstheme="majorHAnsi"/>
          <w:bCs/>
          <w:sz w:val="20"/>
        </w:rPr>
        <w:t>strzykawkowa</w:t>
      </w:r>
      <w:proofErr w:type="spellEnd"/>
    </w:p>
    <w:p w:rsidRPr="00D64822" w:rsidR="00D64822" w:rsidP="00841B6C" w:rsidRDefault="00D64822" w14:paraId="37128189" w14:textId="77777777">
      <w:pPr>
        <w:pStyle w:val="Bezodstpw"/>
        <w:jc w:val="both"/>
        <w:rPr>
          <w:rFonts w:ascii="Aptos" w:hAnsi="Aptos" w:cstheme="majorHAnsi"/>
          <w:bCs/>
          <w:sz w:val="20"/>
        </w:rPr>
      </w:pPr>
    </w:p>
    <w:p w:rsidRPr="00D64822" w:rsidR="00D64822" w:rsidP="00D64822" w:rsidRDefault="00D64822" w14:paraId="6B349F0E" w14:textId="77777777">
      <w:pPr>
        <w:rPr>
          <w:rFonts w:ascii="Aptos" w:hAnsi="Aptos"/>
          <w:b/>
          <w:bCs/>
          <w:sz w:val="20"/>
          <w:szCs w:val="20"/>
        </w:rPr>
      </w:pPr>
      <w:r w:rsidRPr="00D64822">
        <w:rPr>
          <w:rFonts w:ascii="Aptos" w:hAnsi="Aptos"/>
          <w:b/>
          <w:bCs/>
          <w:sz w:val="20"/>
          <w:szCs w:val="20"/>
        </w:rPr>
        <w:t>Oferowane urządzenie (typ, model, producent) ………………………………….</w:t>
      </w:r>
    </w:p>
    <w:p w:rsidRPr="00D64822" w:rsidR="00D64822" w:rsidP="00841B6C" w:rsidRDefault="00D64822" w14:paraId="0F3B262F" w14:textId="77777777">
      <w:pPr>
        <w:pStyle w:val="Bezodstpw"/>
        <w:jc w:val="both"/>
        <w:rPr>
          <w:rFonts w:ascii="Aptos" w:hAnsi="Aptos" w:cstheme="majorHAnsi"/>
          <w:bCs/>
          <w:sz w:val="20"/>
        </w:rPr>
      </w:pPr>
    </w:p>
    <w:p w:rsidRPr="00D64822" w:rsidR="008D1481" w:rsidP="00841B6C" w:rsidRDefault="008D1481" w14:paraId="27BE2784" w14:textId="77777777">
      <w:pPr>
        <w:pStyle w:val="Bezodstpw"/>
        <w:jc w:val="both"/>
        <w:rPr>
          <w:rFonts w:ascii="Aptos" w:hAnsi="Aptos" w:cstheme="majorHAnsi"/>
          <w:sz w:val="20"/>
        </w:rPr>
      </w:pPr>
    </w:p>
    <w:tbl>
      <w:tblPr>
        <w:tblStyle w:val="Tabela-Siatka"/>
        <w:tblW w:w="14029" w:type="dxa"/>
        <w:jc w:val="center"/>
        <w:tblLook w:val="04A0" w:firstRow="1" w:lastRow="0" w:firstColumn="1" w:lastColumn="0" w:noHBand="0" w:noVBand="1"/>
      </w:tblPr>
      <w:tblGrid>
        <w:gridCol w:w="664"/>
        <w:gridCol w:w="6561"/>
        <w:gridCol w:w="2551"/>
        <w:gridCol w:w="4253"/>
      </w:tblGrid>
      <w:tr w:rsidRPr="00D64822" w:rsidR="008D1481" w:rsidTr="4AAFB3D1" w14:paraId="120E3C2F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64822" w:rsidR="008D1481" w:rsidP="00531883" w:rsidRDefault="008D1481" w14:paraId="44FEA8D4" w14:textId="77777777">
            <w:pPr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D64822">
              <w:rPr>
                <w:rFonts w:ascii="Aptos" w:hAnsi="Aptos" w:cstheme="majorHAnsi"/>
                <w:b/>
                <w:bCs/>
                <w:sz w:val="20"/>
                <w:szCs w:val="20"/>
              </w:rPr>
              <w:t>L. P.</w:t>
            </w:r>
          </w:p>
        </w:tc>
        <w:tc>
          <w:tcPr>
            <w:tcW w:w="6561" w:type="dxa"/>
            <w:tcMar/>
            <w:vAlign w:val="center"/>
          </w:tcPr>
          <w:p w:rsidRPr="00D64822" w:rsidR="008D1481" w:rsidP="00531883" w:rsidRDefault="008D1481" w14:paraId="789F977E" w14:textId="77777777">
            <w:pPr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D64822">
              <w:rPr>
                <w:rFonts w:ascii="Aptos" w:hAnsi="Aptos" w:cstheme="majorHAnsi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w="2551" w:type="dxa"/>
            <w:tcMar/>
            <w:vAlign w:val="center"/>
          </w:tcPr>
          <w:p w:rsidRPr="00D64822" w:rsidR="008D1481" w:rsidP="00531883" w:rsidRDefault="008D1481" w14:paraId="1D83ABBF" w14:textId="77777777">
            <w:pPr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D64822">
              <w:rPr>
                <w:rFonts w:ascii="Aptos" w:hAnsi="Aptos" w:cstheme="majorHAnsi"/>
                <w:b/>
                <w:bCs/>
                <w:sz w:val="20"/>
                <w:szCs w:val="20"/>
              </w:rPr>
              <w:t>PARAMETR WYMAGANY</w:t>
            </w:r>
          </w:p>
        </w:tc>
        <w:tc>
          <w:tcPr>
            <w:tcW w:w="4253" w:type="dxa"/>
            <w:tcMar/>
            <w:vAlign w:val="center"/>
          </w:tcPr>
          <w:p w:rsidRPr="00D64822" w:rsidR="008D1481" w:rsidP="00531883" w:rsidRDefault="008D1481" w14:paraId="5F60724F" w14:textId="77777777">
            <w:pPr>
              <w:jc w:val="center"/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D64822">
              <w:rPr>
                <w:rFonts w:ascii="Aptos" w:hAnsi="Aptos" w:cstheme="majorHAnsi"/>
                <w:b/>
                <w:bCs/>
                <w:sz w:val="20"/>
                <w:szCs w:val="20"/>
              </w:rPr>
              <w:t>PARAMETR OFEROWANY</w:t>
            </w:r>
          </w:p>
        </w:tc>
      </w:tr>
      <w:tr w:rsidRPr="00D64822" w:rsidR="008D1481" w:rsidTr="4AAFB3D1" w14:paraId="54F4FE22" w14:textId="77777777">
        <w:trPr>
          <w:jc w:val="center"/>
        </w:trPr>
        <w:tc>
          <w:tcPr>
            <w:tcW w:w="14029" w:type="dxa"/>
            <w:gridSpan w:val="4"/>
            <w:tcMar/>
            <w:vAlign w:val="center"/>
          </w:tcPr>
          <w:p w:rsidRPr="00D64822" w:rsidR="008D1481" w:rsidP="00531883" w:rsidRDefault="00417542" w14:paraId="472797BD" w14:textId="6083710E">
            <w:pPr>
              <w:rPr>
                <w:rFonts w:ascii="Aptos" w:hAnsi="Aptos" w:cstheme="majorHAnsi"/>
                <w:b/>
                <w:bCs/>
                <w:sz w:val="20"/>
                <w:szCs w:val="20"/>
              </w:rPr>
            </w:pPr>
            <w:r w:rsidRPr="00D64822">
              <w:rPr>
                <w:rFonts w:ascii="Aptos" w:hAnsi="Aptos" w:cstheme="majorHAnsi"/>
                <w:b/>
                <w:bCs/>
                <w:sz w:val="20"/>
                <w:szCs w:val="20"/>
              </w:rPr>
              <w:t xml:space="preserve">Pompa </w:t>
            </w:r>
            <w:proofErr w:type="spellStart"/>
            <w:r w:rsidRPr="00D64822" w:rsidR="002F4F03">
              <w:rPr>
                <w:rFonts w:ascii="Aptos" w:hAnsi="Aptos" w:cstheme="majorHAnsi"/>
                <w:b/>
                <w:bCs/>
                <w:sz w:val="20"/>
                <w:szCs w:val="20"/>
              </w:rPr>
              <w:t>strzykawkowa</w:t>
            </w:r>
            <w:proofErr w:type="spellEnd"/>
            <w:r w:rsidRPr="00D64822" w:rsidR="002F4F03">
              <w:rPr>
                <w:rFonts w:ascii="Aptos" w:hAnsi="Aptos" w:cstheme="majorHAnsi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Pr="00D64822" w:rsidR="00BD7078" w:rsidTr="4AAFB3D1" w14:paraId="2BFBEE62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8D1481" w:rsidP="00DD67DC" w:rsidRDefault="008D1481" w14:paraId="5A3CB02E" w14:textId="28C5730A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8D1481" w:rsidP="00AF6A93" w:rsidRDefault="003C609A" w14:paraId="653FAF4C" w14:textId="30ABA6F2">
            <w:pPr>
              <w:jc w:val="both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 xml:space="preserve">Pompa infuzyjna </w:t>
            </w:r>
            <w:proofErr w:type="spellStart"/>
            <w:r w:rsidRPr="00D64822">
              <w:rPr>
                <w:rFonts w:ascii="Aptos" w:hAnsi="Aptos"/>
                <w:sz w:val="20"/>
                <w:szCs w:val="20"/>
              </w:rPr>
              <w:t>strzykawkowa</w:t>
            </w:r>
            <w:proofErr w:type="spellEnd"/>
            <w:r w:rsidRPr="00D64822">
              <w:rPr>
                <w:rFonts w:ascii="Aptos" w:hAnsi="Aptos"/>
                <w:sz w:val="20"/>
                <w:szCs w:val="20"/>
              </w:rPr>
              <w:t xml:space="preserve"> do infuzji dożylnej lub podskórnej u pacjentów dorosłych, dzieci i noworodków w przerywanych lub ciągłych infuzjach płynów pozajelitowych, leków, krwi i preparatów krwiopochodnych.</w:t>
            </w:r>
          </w:p>
        </w:tc>
        <w:tc>
          <w:tcPr>
            <w:tcW w:w="2551" w:type="dxa"/>
            <w:tcMar/>
            <w:vAlign w:val="center"/>
          </w:tcPr>
          <w:p w:rsidRPr="00D64822" w:rsidR="008D1481" w:rsidP="00531883" w:rsidRDefault="003C609A" w14:paraId="5734E79A" w14:textId="7C4C102E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8D1481" w:rsidP="00531883" w:rsidRDefault="008D1481" w14:paraId="23A5D57D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0C047D15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417542" w:rsidP="00DD67DC" w:rsidRDefault="00417542" w14:paraId="7AF4F47F" w14:textId="39DB1529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</w:tcPr>
          <w:p w:rsidRPr="00D64822" w:rsidR="00417542" w:rsidP="00417542" w:rsidRDefault="003C609A" w14:paraId="2254B69B" w14:textId="044AFB03">
            <w:pPr>
              <w:jc w:val="both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 xml:space="preserve">Zasilanie sieciowe zgodne z warunkami obowiązującymi w Polsce, 100 V – 240 V ~ / 50–60 </w:t>
            </w:r>
            <w:proofErr w:type="spellStart"/>
            <w:r w:rsidRPr="00D64822">
              <w:rPr>
                <w:rFonts w:ascii="Aptos" w:hAnsi="Aptos"/>
                <w:sz w:val="20"/>
                <w:szCs w:val="20"/>
              </w:rPr>
              <w:t>Hz</w:t>
            </w:r>
            <w:proofErr w:type="spellEnd"/>
            <w:r w:rsidRPr="00D64822">
              <w:rPr>
                <w:rFonts w:ascii="Aptos" w:hAnsi="Aptos"/>
                <w:sz w:val="20"/>
                <w:szCs w:val="20"/>
              </w:rPr>
              <w:t xml:space="preserve"> z działającym uziemieniem </w:t>
            </w:r>
          </w:p>
        </w:tc>
        <w:tc>
          <w:tcPr>
            <w:tcW w:w="2551" w:type="dxa"/>
            <w:tcMar/>
            <w:vAlign w:val="center"/>
          </w:tcPr>
          <w:p w:rsidRPr="00D64822" w:rsidR="00417542" w:rsidP="00417542" w:rsidRDefault="003C609A" w14:paraId="26EE2590" w14:textId="6D3AB9A5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417542" w:rsidP="00417542" w:rsidRDefault="00417542" w14:paraId="1923C335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73AA8970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417542" w:rsidP="00DD67DC" w:rsidRDefault="00417542" w14:paraId="233F4448" w14:textId="24C78729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417542" w:rsidP="00417542" w:rsidRDefault="003C609A" w14:paraId="4D2B33BB" w14:textId="4F9D044E">
            <w:pPr>
              <w:jc w:val="both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Ochrona przed wilgocią</w:t>
            </w:r>
            <w:r w:rsidRPr="00D64822" w:rsidR="00563A55">
              <w:rPr>
                <w:rFonts w:ascii="Aptos" w:hAnsi="Aptos"/>
                <w:sz w:val="20"/>
                <w:szCs w:val="20"/>
              </w:rPr>
              <w:t xml:space="preserve"> </w:t>
            </w:r>
            <w:r w:rsidRPr="00D64822" w:rsidR="00563A55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wg EN 6060529 IP 32</w:t>
            </w:r>
          </w:p>
        </w:tc>
        <w:tc>
          <w:tcPr>
            <w:tcW w:w="2551" w:type="dxa"/>
            <w:tcMar/>
            <w:vAlign w:val="center"/>
          </w:tcPr>
          <w:p w:rsidRPr="00D64822" w:rsidR="00417542" w:rsidP="00417542" w:rsidRDefault="003C609A" w14:paraId="0D6C61E8" w14:textId="70811DD0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417542" w:rsidP="00417542" w:rsidRDefault="00417542" w14:paraId="11F4B403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632387BD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417542" w:rsidP="00DD67DC" w:rsidRDefault="00417542" w14:paraId="70679049" w14:textId="1598EB64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417542" w:rsidP="00417542" w:rsidRDefault="003C609A" w14:paraId="50173170" w14:textId="69F9AFC4">
            <w:pPr>
              <w:jc w:val="both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Zasilanie pompy bezpośrednio z sieci za pomocą kabla, zasilacz wbudowany wewnątrz urządzenia</w:t>
            </w:r>
          </w:p>
        </w:tc>
        <w:tc>
          <w:tcPr>
            <w:tcW w:w="2551" w:type="dxa"/>
            <w:tcMar/>
            <w:vAlign w:val="center"/>
          </w:tcPr>
          <w:p w:rsidRPr="00D64822" w:rsidR="00417542" w:rsidP="00417542" w:rsidRDefault="003C609A" w14:paraId="24D06557" w14:textId="3FD883E5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417542" w:rsidP="00417542" w:rsidRDefault="00417542" w14:paraId="69CC714D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33A01EF0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3C609A" w:rsidP="00DD67DC" w:rsidRDefault="003C609A" w14:paraId="651B45A9" w14:textId="268B1759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</w:tcPr>
          <w:p w:rsidRPr="00D64822" w:rsidR="00563A55" w:rsidP="00DD67DC" w:rsidRDefault="00563A55" w14:paraId="5D8B5589" w14:textId="026D1779">
            <w:pPr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Bateria: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 xml:space="preserve">a) typ: </w:t>
            </w:r>
            <w:proofErr w:type="spellStart"/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litowo</w:t>
            </w:r>
            <w:proofErr w:type="spellEnd"/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-jonowa, inteligentna,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b) napięcie: min. 7,</w:t>
            </w:r>
            <w:r w:rsidRPr="00D64822" w:rsidR="002C0569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0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 xml:space="preserve"> V, pojemność: min. 2,5 Ah,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c) wyświetlanie na ekranie informacji o pozostałym czasie pracy oraz poziomie naładowania baterii,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d) czas pracy baterii (przy pełnym naładowaniu):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 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– nie mniej niż 13 godzin przy przepływie 25 ml/h,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 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– nie mniej niż 7 godzin przy przepływie 1200 ml/h,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e) czas ładowania: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 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– przy wyłączonym urządzeniu: max. 7 godzin,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 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– przy włączonym urządzeniu: max. 21 godzin.</w:t>
            </w:r>
          </w:p>
          <w:p w:rsidRPr="00D64822" w:rsidR="003C609A" w:rsidP="003C609A" w:rsidRDefault="003C609A" w14:paraId="624C42BA" w14:textId="21FF6325">
            <w:pPr>
              <w:jc w:val="both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Zasilanie z akumulatora wewnętrznego pow. 13 godz. przy przepływie 25 ml/godz.  Czas ładowania baterii: pompa wyłączona pon. 7 godz.</w:t>
            </w:r>
          </w:p>
        </w:tc>
        <w:tc>
          <w:tcPr>
            <w:tcW w:w="2551" w:type="dxa"/>
            <w:tcMar/>
            <w:vAlign w:val="center"/>
          </w:tcPr>
          <w:p w:rsidRPr="00D64822" w:rsidR="003C609A" w:rsidP="003C609A" w:rsidRDefault="003C609A" w14:paraId="22A8CDB6" w14:textId="57B6E6CD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3C609A" w:rsidP="003C609A" w:rsidRDefault="003C609A" w14:paraId="40E8876C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33A8AB16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563A55" w:rsidP="00DD67DC" w:rsidRDefault="00563A55" w14:paraId="43482A55" w14:textId="410B77C4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</w:tcPr>
          <w:p w:rsidRPr="00D64822" w:rsidR="00563A55" w:rsidP="003C609A" w:rsidRDefault="00563A55" w14:paraId="428CE5FB" w14:textId="68B82D3A">
            <w:pPr>
              <w:jc w:val="both"/>
              <w:rPr>
                <w:rFonts w:ascii="Aptos" w:hAnsi="Aptos"/>
                <w:sz w:val="20"/>
                <w:szCs w:val="20"/>
                <w:lang w:eastAsia="pl-PL"/>
              </w:rPr>
            </w:pP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Monochromatyczny, graficzny wyświetlacz LCD o wymiarach minimum 70 mm × 35 mm.</w:t>
            </w:r>
          </w:p>
        </w:tc>
        <w:tc>
          <w:tcPr>
            <w:tcW w:w="2551" w:type="dxa"/>
            <w:tcMar/>
            <w:vAlign w:val="center"/>
          </w:tcPr>
          <w:p w:rsidRPr="00D64822" w:rsidR="00563A55" w:rsidP="003C609A" w:rsidRDefault="002C0569" w14:paraId="325FA5A0" w14:textId="4F109F25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563A55" w:rsidP="003C609A" w:rsidRDefault="00563A55" w14:paraId="1A61C3FE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2482DDB1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563A55" w:rsidP="00DD67DC" w:rsidRDefault="00563A55" w14:paraId="681163EB" w14:textId="6FFE6A26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563A55" w:rsidP="00563A55" w:rsidRDefault="00563A55" w14:paraId="7E332F05" w14:textId="669E8D93">
            <w:pPr>
              <w:jc w:val="both"/>
              <w:rPr>
                <w:rFonts w:ascii="Aptos" w:hAnsi="Aptos"/>
                <w:sz w:val="20"/>
                <w:szCs w:val="20"/>
                <w:lang w:eastAsia="pl-PL"/>
              </w:rPr>
            </w:pP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Urządzenie wyposażone w klawiaturę symboliczną</w:t>
            </w:r>
          </w:p>
        </w:tc>
        <w:tc>
          <w:tcPr>
            <w:tcW w:w="2551" w:type="dxa"/>
            <w:tcMar/>
            <w:vAlign w:val="center"/>
          </w:tcPr>
          <w:p w:rsidRPr="00D64822" w:rsidR="00563A55" w:rsidP="00563A55" w:rsidRDefault="00563A55" w14:paraId="0C9FCE4D" w14:textId="0A018CB0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563A55" w:rsidP="00563A55" w:rsidRDefault="00563A55" w14:paraId="69BA20A2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31226408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563A55" w:rsidP="00DD67DC" w:rsidRDefault="00563A55" w14:paraId="20CFBBD3" w14:textId="0E3B2CBE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563A55" w:rsidP="00563A55" w:rsidRDefault="00563A55" w14:paraId="5C6550F0" w14:textId="2958C5F3">
            <w:pPr>
              <w:jc w:val="both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Lampka kontrolna zasilania oraz wskaźnik stanu naładowania akumulatora widoczne na płycie czołowej urządzenia.</w:t>
            </w:r>
          </w:p>
        </w:tc>
        <w:tc>
          <w:tcPr>
            <w:tcW w:w="2551" w:type="dxa"/>
            <w:tcMar/>
            <w:vAlign w:val="center"/>
          </w:tcPr>
          <w:p w:rsidRPr="00D64822" w:rsidR="00563A55" w:rsidP="00563A55" w:rsidRDefault="00563A55" w14:paraId="35DEE560" w14:textId="298DB6F0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563A55" w:rsidP="00563A55" w:rsidRDefault="00563A55" w14:paraId="431253B7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077C35A9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563A55" w:rsidP="00DD67DC" w:rsidRDefault="00563A55" w14:paraId="18B0FA0A" w14:textId="0F302F19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563A55" w:rsidP="00563A55" w:rsidRDefault="00563A55" w14:paraId="58750C87" w14:textId="0F6E1585">
            <w:pPr>
              <w:jc w:val="both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 xml:space="preserve">Urządzenie wyposażone w automatyczną blokadę klawiatury; 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Blokada klawiatury z użyciem min. 4-ro cyfrowego kodu</w:t>
            </w:r>
          </w:p>
        </w:tc>
        <w:tc>
          <w:tcPr>
            <w:tcW w:w="2551" w:type="dxa"/>
            <w:tcMar/>
            <w:vAlign w:val="center"/>
          </w:tcPr>
          <w:p w:rsidRPr="00D64822" w:rsidR="00563A55" w:rsidP="00563A55" w:rsidRDefault="00563A55" w14:paraId="1D6E7F0C" w14:textId="0471CF7D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563A55" w:rsidP="00563A55" w:rsidRDefault="00563A55" w14:paraId="330CA755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19CB0274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024F7E" w:rsidP="00DD67DC" w:rsidRDefault="00024F7E" w14:paraId="153C7026" w14:textId="468B7CCB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024F7E" w:rsidP="00563A55" w:rsidRDefault="00024F7E" w14:paraId="4AA73187" w14:textId="62D18D2C">
            <w:pPr>
              <w:jc w:val="both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Mocowanie strzykawki do czoła pompy, cała strzykawka stale widoczna podczas pracy pompy z pełną swobodą odczytania objętości ze skali strzykawki oraz możliwością wizualnej kontroli infuzji</w:t>
            </w:r>
          </w:p>
        </w:tc>
        <w:tc>
          <w:tcPr>
            <w:tcW w:w="2551" w:type="dxa"/>
            <w:tcMar/>
            <w:vAlign w:val="center"/>
          </w:tcPr>
          <w:p w:rsidRPr="00D64822" w:rsidR="00024F7E" w:rsidP="00563A55" w:rsidRDefault="00B2019D" w14:paraId="0B23EC13" w14:textId="770B5C1E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024F7E" w:rsidP="00563A55" w:rsidRDefault="00024F7E" w14:paraId="7C245B2F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78FAE169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563A55" w:rsidP="00DD67DC" w:rsidRDefault="00563A55" w14:paraId="1D10DDE3" w14:textId="703F3FC0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563A55" w:rsidP="00563A55" w:rsidRDefault="00563A55" w14:paraId="2B1CFE65" w14:textId="73204039">
            <w:pPr>
              <w:jc w:val="both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Mocowanie strzykawki możliwe zarówno przy włączonej jak i wyłączonej pompie – system obsługiwany całkowicie manualnie</w:t>
            </w:r>
          </w:p>
        </w:tc>
        <w:tc>
          <w:tcPr>
            <w:tcW w:w="2551" w:type="dxa"/>
            <w:tcMar/>
            <w:vAlign w:val="center"/>
          </w:tcPr>
          <w:p w:rsidRPr="00D64822" w:rsidR="00563A55" w:rsidP="00563A55" w:rsidRDefault="00B2019D" w14:paraId="1258339F" w14:textId="69649355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563A55" w:rsidP="00563A55" w:rsidRDefault="00563A55" w14:paraId="5CC126D0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4221ADA9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563A55" w:rsidP="00DD67DC" w:rsidRDefault="00563A55" w14:paraId="0FAF1D55" w14:textId="457D97F2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563A55" w:rsidP="00563A55" w:rsidRDefault="00563A55" w14:paraId="4C050F3C" w14:textId="1A27CF70">
            <w:pPr>
              <w:jc w:val="both"/>
              <w:rPr>
                <w:rFonts w:ascii="Aptos" w:hAnsi="Aptos"/>
                <w:sz w:val="20"/>
                <w:szCs w:val="20"/>
                <w:lang w:eastAsia="pl-PL"/>
              </w:rPr>
            </w:pP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Osłona tłoka strzykawki uniemożliwiająca wciśnięcie tłoka strzykawki zamontowanej w pompie.</w:t>
            </w:r>
          </w:p>
        </w:tc>
        <w:tc>
          <w:tcPr>
            <w:tcW w:w="2551" w:type="dxa"/>
            <w:tcMar/>
            <w:vAlign w:val="center"/>
          </w:tcPr>
          <w:p w:rsidRPr="00D64822" w:rsidR="00563A55" w:rsidP="00563A55" w:rsidRDefault="00B2019D" w14:paraId="792643F7" w14:textId="493DAF41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563A55" w:rsidP="00563A55" w:rsidRDefault="00563A55" w14:paraId="4C0A4C65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15302982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563A55" w:rsidP="00DD67DC" w:rsidRDefault="00563A55" w14:paraId="0E654008" w14:textId="7E3AE7AA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563A55" w:rsidP="00563A55" w:rsidRDefault="00563A55" w14:paraId="5D562B8D" w14:textId="6C349C5D">
            <w:pPr>
              <w:jc w:val="both"/>
              <w:rPr>
                <w:rFonts w:ascii="Aptos" w:hAnsi="Aptos"/>
                <w:sz w:val="20"/>
                <w:szCs w:val="20"/>
                <w:lang w:eastAsia="pl-PL"/>
              </w:rPr>
            </w:pP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Manualny tłok. Zabezpieczenie przed przypadkowym podaniem leku (bolusa) podczas zakładania lub wymiany strzykawki</w:t>
            </w:r>
          </w:p>
        </w:tc>
        <w:tc>
          <w:tcPr>
            <w:tcW w:w="2551" w:type="dxa"/>
            <w:tcMar/>
            <w:vAlign w:val="center"/>
          </w:tcPr>
          <w:p w:rsidRPr="00D64822" w:rsidR="00563A55" w:rsidP="00563A55" w:rsidRDefault="00B2019D" w14:paraId="4DD1A659" w14:textId="3E747354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563A55" w:rsidP="00563A55" w:rsidRDefault="00563A55" w14:paraId="7EE79445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4560C273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095C7D" w:rsidP="00DD67DC" w:rsidRDefault="00095C7D" w14:paraId="79396447" w14:textId="34D67346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095C7D" w:rsidP="00563A55" w:rsidRDefault="00095C7D" w14:paraId="29C8FCCB" w14:textId="234CE606">
            <w:pPr>
              <w:jc w:val="both"/>
              <w:rPr>
                <w:rFonts w:ascii="Aptos" w:hAnsi="Aptos"/>
                <w:sz w:val="20"/>
                <w:szCs w:val="20"/>
                <w:lang w:eastAsia="pl-PL"/>
              </w:rPr>
            </w:pP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Uchwyt mocowania pompy do rury pionowej, kolumny lub poziomej szyny oraz rączka do przenoszenia na stałe wbudowane w pompę. Mocowanie pompy do statywów oraz stacji dokujących nie wymaga odłączania lub dołączania uchwytu mocującego lub jakichkolwiek innych części.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Wszechstronny zacisk zainstalowany na stałe z pompą, pozwalający na zamontowanie na poręczy lub stojaku.</w:t>
            </w:r>
          </w:p>
        </w:tc>
        <w:tc>
          <w:tcPr>
            <w:tcW w:w="2551" w:type="dxa"/>
            <w:tcMar/>
            <w:vAlign w:val="center"/>
          </w:tcPr>
          <w:p w:rsidRPr="00D64822" w:rsidR="00095C7D" w:rsidP="00563A55" w:rsidRDefault="00B2019D" w14:paraId="1E96BB1C" w14:textId="6723B826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095C7D" w:rsidP="00563A55" w:rsidRDefault="00095C7D" w14:paraId="1794DFF7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16450392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563A55" w:rsidP="00DD67DC" w:rsidRDefault="00563A55" w14:paraId="50195D96" w14:textId="22110A7D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563A55" w:rsidP="00563A55" w:rsidRDefault="00563A55" w14:paraId="78283408" w14:textId="71DBF3F6">
            <w:pPr>
              <w:jc w:val="both"/>
              <w:rPr>
                <w:rFonts w:ascii="Aptos" w:hAnsi="Aptos"/>
                <w:sz w:val="20"/>
                <w:szCs w:val="20"/>
                <w:lang w:eastAsia="pl-PL"/>
              </w:rPr>
            </w:pP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Pompa skalibrowana do pracy ze strzykawkami o objętości 5/6, 10/12, 20, 30/35 i 50/60 ml różnych typów oraz różnych producentów</w:t>
            </w:r>
          </w:p>
        </w:tc>
        <w:tc>
          <w:tcPr>
            <w:tcW w:w="2551" w:type="dxa"/>
            <w:tcMar/>
            <w:vAlign w:val="center"/>
          </w:tcPr>
          <w:p w:rsidRPr="00D64822" w:rsidR="00563A55" w:rsidP="00563A55" w:rsidRDefault="00B2019D" w14:paraId="3961105E" w14:textId="6D52288F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563A55" w:rsidP="00563A55" w:rsidRDefault="00563A55" w14:paraId="5BBDAA8E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19B11C3C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966F7C" w:rsidP="00DD67DC" w:rsidRDefault="00966F7C" w14:paraId="50AF330E" w14:textId="02CC30E2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966F7C" w:rsidP="00563A55" w:rsidRDefault="00966F7C" w14:paraId="6C468862" w14:textId="072C3593">
            <w:pPr>
              <w:spacing w:after="120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Zakres szybkości infuzji od   0,1 do 1200 ml/godz.</w:t>
            </w:r>
          </w:p>
        </w:tc>
        <w:tc>
          <w:tcPr>
            <w:tcW w:w="2551" w:type="dxa"/>
            <w:tcMar/>
            <w:vAlign w:val="center"/>
          </w:tcPr>
          <w:p w:rsidRPr="00D64822" w:rsidR="00966F7C" w:rsidP="00563A55" w:rsidRDefault="00B2019D" w14:paraId="68EB11CF" w14:textId="60E934F2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966F7C" w:rsidP="00563A55" w:rsidRDefault="00966F7C" w14:paraId="1D1715EE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13AF00A0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966F7C" w:rsidP="00DD67DC" w:rsidRDefault="00966F7C" w14:paraId="02830F71" w14:textId="77777777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966F7C" w:rsidP="00563A55" w:rsidRDefault="00966F7C" w14:paraId="78F424A9" w14:textId="49F79E5A">
            <w:pPr>
              <w:spacing w:after="120"/>
              <w:rPr>
                <w:rFonts w:ascii="Aptos" w:hAnsi="Aptos"/>
                <w:sz w:val="20"/>
                <w:szCs w:val="20"/>
                <w:lang w:eastAsia="pl-PL"/>
              </w:rPr>
            </w:pP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Funkcja programowania infuzji: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 xml:space="preserve">a) co 0,01 w zakresie od 0,1 do 9,99 ml/ godz. 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b) co 0,1 w zakresie od   10 do 99,9 ml/h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c) co 1 w zakresie 100-1200ml/h</w:t>
            </w:r>
          </w:p>
        </w:tc>
        <w:tc>
          <w:tcPr>
            <w:tcW w:w="2551" w:type="dxa"/>
            <w:tcMar/>
            <w:vAlign w:val="center"/>
          </w:tcPr>
          <w:p w:rsidRPr="00D64822" w:rsidR="00966F7C" w:rsidP="00563A55" w:rsidRDefault="00B2019D" w14:paraId="492F5398" w14:textId="10970FA2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966F7C" w:rsidP="00563A55" w:rsidRDefault="00966F7C" w14:paraId="37A6C3B6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573580F1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563A55" w:rsidP="00DD67DC" w:rsidRDefault="00563A55" w14:paraId="6484AFAD" w14:textId="6E7C0EE9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563A55" w:rsidP="00563A55" w:rsidRDefault="00966F7C" w14:paraId="51546753" w14:textId="1A4E057B">
            <w:pPr>
              <w:jc w:val="both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Funkcja szybkiego startu „umożliwiająca skrócenie czasu opóźnienia rozpoczęcia terapii, jeśli funkcja napełniania pompy nie jest używana.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 xml:space="preserve">Przy tej funkcji infuzja rozpoczyna się z wysoką prędkością przepływu (120 </w:t>
            </w:r>
            <w:proofErr w:type="spellStart"/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mL</w:t>
            </w:r>
            <w:proofErr w:type="spellEnd"/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/h) i trwa do momentu, gdy popychacz zaczyna przesuwać głowicę tłoka strzykawki - prędkość przepływu automatycznie przestawia się na zaprogramowaną wartość.</w:t>
            </w:r>
          </w:p>
        </w:tc>
        <w:tc>
          <w:tcPr>
            <w:tcW w:w="2551" w:type="dxa"/>
            <w:tcMar/>
            <w:vAlign w:val="center"/>
          </w:tcPr>
          <w:p w:rsidRPr="00D64822" w:rsidR="00563A55" w:rsidP="00563A55" w:rsidRDefault="00563A55" w14:paraId="2E0CAF13" w14:textId="62CE61F7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563A55" w:rsidP="00563A55" w:rsidRDefault="00563A55" w14:paraId="37A5302A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5FBBC855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966F7C" w:rsidP="00DD67DC" w:rsidRDefault="00966F7C" w14:paraId="520DF476" w14:textId="2855056C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966F7C" w:rsidP="00563A55" w:rsidRDefault="00966F7C" w14:paraId="7C684069" w14:textId="654DB5E9">
            <w:pPr>
              <w:jc w:val="both"/>
              <w:rPr>
                <w:rFonts w:ascii="Aptos" w:hAnsi="Aptos"/>
                <w:sz w:val="20"/>
                <w:szCs w:val="20"/>
                <w:lang w:eastAsia="pl-PL"/>
              </w:rPr>
            </w:pP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Dokładność szybkości przepływu  co najmniej  3 %</w:t>
            </w:r>
          </w:p>
        </w:tc>
        <w:tc>
          <w:tcPr>
            <w:tcW w:w="2551" w:type="dxa"/>
            <w:tcMar/>
            <w:vAlign w:val="center"/>
          </w:tcPr>
          <w:p w:rsidRPr="00D64822" w:rsidR="00966F7C" w:rsidP="00563A55" w:rsidRDefault="00B2019D" w14:paraId="467BEB6A" w14:textId="53A684E1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966F7C" w:rsidP="00563A55" w:rsidRDefault="00966F7C" w14:paraId="1B03114F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3D58F687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966F7C" w:rsidP="00DD67DC" w:rsidRDefault="00966F7C" w14:paraId="6EF7CEE7" w14:textId="60BDC5B1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966F7C" w:rsidP="00563A55" w:rsidRDefault="00966F7C" w14:paraId="33C961C4" w14:textId="145E1353">
            <w:pPr>
              <w:jc w:val="both"/>
              <w:rPr>
                <w:rFonts w:ascii="Aptos" w:hAnsi="Aptos"/>
                <w:sz w:val="20"/>
                <w:szCs w:val="20"/>
                <w:lang w:eastAsia="pl-PL"/>
              </w:rPr>
            </w:pP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Zmiana szybkości infuzji bez konieczności przerywania wlewu</w:t>
            </w:r>
          </w:p>
        </w:tc>
        <w:tc>
          <w:tcPr>
            <w:tcW w:w="2551" w:type="dxa"/>
            <w:tcMar/>
            <w:vAlign w:val="center"/>
          </w:tcPr>
          <w:p w:rsidRPr="00D64822" w:rsidR="00966F7C" w:rsidP="00563A55" w:rsidRDefault="00B2019D" w14:paraId="4FB85A9E" w14:textId="1B605E45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966F7C" w:rsidP="00563A55" w:rsidRDefault="00966F7C" w14:paraId="6E794500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5EF925CD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966F7C" w:rsidP="00DD67DC" w:rsidRDefault="00966F7C" w14:paraId="759CADCB" w14:textId="6B55FFC0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966F7C" w:rsidP="00563A55" w:rsidRDefault="00966F7C" w14:paraId="16C430CC" w14:textId="6CBAB451">
            <w:pPr>
              <w:jc w:val="both"/>
              <w:rPr>
                <w:rFonts w:ascii="Aptos" w:hAnsi="Aptos"/>
                <w:sz w:val="20"/>
                <w:szCs w:val="20"/>
                <w:lang w:eastAsia="pl-PL"/>
              </w:rPr>
            </w:pP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Programowanie infuzji w jednostkach na minutę, godzinę, wagę i powierzchnię</w:t>
            </w:r>
          </w:p>
        </w:tc>
        <w:tc>
          <w:tcPr>
            <w:tcW w:w="2551" w:type="dxa"/>
            <w:tcMar/>
            <w:vAlign w:val="center"/>
          </w:tcPr>
          <w:p w:rsidRPr="00D64822" w:rsidR="00966F7C" w:rsidP="00563A55" w:rsidRDefault="00B2019D" w14:paraId="7F90B2BC" w14:textId="44E6F2CE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966F7C" w:rsidP="00563A55" w:rsidRDefault="00966F7C" w14:paraId="6D25D213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50D71A7B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966F7C" w:rsidP="00DD67DC" w:rsidRDefault="00966F7C" w14:paraId="58FAD3BB" w14:textId="5D414A88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966F7C" w:rsidP="00563A55" w:rsidRDefault="00966F7C" w14:paraId="29999769" w14:textId="4B635E70">
            <w:pPr>
              <w:jc w:val="both"/>
              <w:rPr>
                <w:rFonts w:ascii="Aptos" w:hAnsi="Aptos"/>
                <w:sz w:val="20"/>
                <w:szCs w:val="20"/>
                <w:lang w:eastAsia="pl-PL"/>
              </w:rPr>
            </w:pPr>
            <w:r w:rsidRPr="00D64822" w:rsidR="00966F7C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Dostępne opcje przeliczania - powierzchni ciała pacjenta w m</w:t>
            </w:r>
            <w:r w:rsidRPr="00D64822" w:rsidR="00966F7C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² w</w:t>
            </w:r>
            <w:r w:rsidRPr="00D64822" w:rsidR="00966F7C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 xml:space="preserve"> zakresie od 0,05 m² do 4,5 m², minimalny przyrost 0,01m²   oraz wagi, w zakresie od 0,25 do 350 kg z </w:t>
            </w:r>
            <w:r w:rsidRPr="00D64822" w:rsidR="00966F7C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dostępną  regulacją</w:t>
            </w:r>
            <w:r w:rsidRPr="00D64822" w:rsidR="00966F7C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 xml:space="preserve"> co 10 gramów</w:t>
            </w:r>
          </w:p>
        </w:tc>
        <w:tc>
          <w:tcPr>
            <w:tcW w:w="2551" w:type="dxa"/>
            <w:tcMar/>
            <w:vAlign w:val="center"/>
          </w:tcPr>
          <w:p w:rsidRPr="00D64822" w:rsidR="00966F7C" w:rsidP="00563A55" w:rsidRDefault="00966F7C" w14:paraId="04524EE5" w14:textId="5C01DC81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4AAFB3D1" w:rsidR="2DE2CC97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966F7C" w:rsidP="00563A55" w:rsidRDefault="00966F7C" w14:paraId="64A9600F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09164CDC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966F7C" w:rsidP="00DD67DC" w:rsidRDefault="00966F7C" w14:paraId="4B82C8AE" w14:textId="2CD51EE5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966F7C" w:rsidP="00966F7C" w:rsidRDefault="00966F7C" w14:paraId="7F94C42A" w14:textId="77777777">
            <w:pPr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Funkcja podawania bolusa:</w:t>
            </w:r>
          </w:p>
          <w:p w:rsidRPr="00D64822" w:rsidR="00966F7C" w:rsidP="00966F7C" w:rsidRDefault="00966F7C" w14:paraId="0936853C" w14:textId="77777777">
            <w:pPr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:rsidRPr="00D64822" w:rsidR="00966F7C" w:rsidP="00966F7C" w:rsidRDefault="00966F7C" w14:paraId="0BA1F996" w14:textId="77777777">
            <w:pPr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a) Urządzenie podaje bolus na żądanie bez konieczności przerywania trwającej infuzji,</w:t>
            </w:r>
          </w:p>
          <w:p w:rsidRPr="00D64822" w:rsidR="00966F7C" w:rsidP="00966F7C" w:rsidRDefault="00966F7C" w14:paraId="5FF0981A" w14:textId="77777777">
            <w:pPr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b) Dostępne są co najmniej dwa tryby podania bolusa,</w:t>
            </w:r>
          </w:p>
          <w:p w:rsidRPr="00D64822" w:rsidR="00966F7C" w:rsidP="00966F7C" w:rsidRDefault="00966F7C" w14:paraId="7359950C" w14:textId="2C080885">
            <w:pPr>
              <w:jc w:val="both"/>
              <w:rPr>
                <w:rFonts w:ascii="Aptos" w:hAnsi="Aptos"/>
                <w:sz w:val="20"/>
                <w:szCs w:val="20"/>
                <w:lang w:eastAsia="pl-PL"/>
              </w:rPr>
            </w:pP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c) Urządzenie umożliwia ręczne przesunięcie tłoka strzykawki z jednoczesnym zliczaniem i prezentacją podanej objętości na ekranie.</w:t>
            </w:r>
          </w:p>
        </w:tc>
        <w:tc>
          <w:tcPr>
            <w:tcW w:w="2551" w:type="dxa"/>
            <w:tcMar/>
            <w:vAlign w:val="center"/>
          </w:tcPr>
          <w:p w:rsidRPr="00D64822" w:rsidR="00966F7C" w:rsidP="00563A55" w:rsidRDefault="00B2019D" w14:paraId="4EB7E565" w14:textId="4BE2DBA6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966F7C" w:rsidP="00563A55" w:rsidRDefault="00966F7C" w14:paraId="7FE82D14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31E8F287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966F7C" w:rsidP="00DD67DC" w:rsidRDefault="00966F7C" w14:paraId="2C8CB5D1" w14:textId="070F08B8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966F7C" w:rsidP="00966F7C" w:rsidRDefault="00966F7C" w14:paraId="2D27EF64" w14:textId="0AC2ACCC">
            <w:pPr>
              <w:rPr>
                <w:rFonts w:ascii="Aptos" w:hAnsi="Aptos"/>
                <w:sz w:val="20"/>
                <w:szCs w:val="20"/>
                <w:lang w:eastAsia="pl-PL"/>
              </w:rPr>
            </w:pP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Bolus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• Bolus bezpośredni: od 50 do 1200 ml/h (co 50 ml/h)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• Bolus programowany i dawka nasycająca: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- Objętość: od 0,1 do 99,9 ml / 1 s - 24 h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- Dawka: od 0,01 do 9999 jednostek dawki / 1 s - 24 h</w:t>
            </w:r>
          </w:p>
        </w:tc>
        <w:tc>
          <w:tcPr>
            <w:tcW w:w="2551" w:type="dxa"/>
            <w:tcMar/>
            <w:vAlign w:val="center"/>
          </w:tcPr>
          <w:p w:rsidRPr="00D64822" w:rsidR="00966F7C" w:rsidP="00563A55" w:rsidRDefault="00B2019D" w14:paraId="70178859" w14:textId="46FD6202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966F7C" w:rsidP="00563A55" w:rsidRDefault="00966F7C" w14:paraId="51D6A0F0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6F9D83BE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024F7E" w:rsidP="00DD67DC" w:rsidRDefault="00024F7E" w14:paraId="32BB232F" w14:textId="66CE1FEE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024F7E" w:rsidP="00024F7E" w:rsidRDefault="00024F7E" w14:paraId="4085CA87" w14:textId="77777777">
            <w:pPr>
              <w:spacing w:after="120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 xml:space="preserve">System </w:t>
            </w:r>
            <w:proofErr w:type="spellStart"/>
            <w:r w:rsidRPr="00D64822">
              <w:rPr>
                <w:rFonts w:ascii="Aptos" w:hAnsi="Aptos"/>
                <w:sz w:val="20"/>
                <w:szCs w:val="20"/>
              </w:rPr>
              <w:t>antybolusowy</w:t>
            </w:r>
            <w:proofErr w:type="spellEnd"/>
            <w:r w:rsidRPr="00D64822">
              <w:rPr>
                <w:rFonts w:ascii="Aptos" w:hAnsi="Aptos"/>
                <w:sz w:val="20"/>
                <w:szCs w:val="20"/>
              </w:rPr>
              <w:t xml:space="preserve"> </w:t>
            </w:r>
          </w:p>
          <w:p w:rsidRPr="00D64822" w:rsidR="00024F7E" w:rsidP="00024F7E" w:rsidRDefault="00024F7E" w14:paraId="67B78125" w14:textId="77777777">
            <w:pPr>
              <w:spacing w:after="120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Znacznie ogranicza podanie leku w bolusie po otwarciu przewodu</w:t>
            </w:r>
          </w:p>
          <w:p w:rsidRPr="00D64822" w:rsidR="00024F7E" w:rsidP="00024F7E" w:rsidRDefault="00024F7E" w14:paraId="5041A08F" w14:textId="05E25C0F">
            <w:pPr>
              <w:rPr>
                <w:rFonts w:ascii="Aptos" w:hAnsi="Aptos"/>
                <w:sz w:val="20"/>
                <w:szCs w:val="20"/>
                <w:lang w:eastAsia="pl-PL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≤0,35 ml maks. dla strzykawki 50 ml.</w:t>
            </w:r>
          </w:p>
        </w:tc>
        <w:tc>
          <w:tcPr>
            <w:tcW w:w="2551" w:type="dxa"/>
            <w:tcMar/>
            <w:vAlign w:val="center"/>
          </w:tcPr>
          <w:p w:rsidRPr="00D64822" w:rsidR="00024F7E" w:rsidP="00563A55" w:rsidRDefault="00B2019D" w14:paraId="00B969AA" w14:textId="73C4550F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024F7E" w:rsidP="00563A55" w:rsidRDefault="00024F7E" w14:paraId="64175ED2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133C6C64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966F7C" w:rsidP="00DD67DC" w:rsidRDefault="00966F7C" w14:paraId="2CD06A38" w14:textId="0CABEA4C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966F7C" w:rsidP="00966F7C" w:rsidRDefault="00966F7C" w14:paraId="3D98106A" w14:textId="77777777">
            <w:pPr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Dawka nasycająca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 xml:space="preserve">Dawka/czas: od 0,01 do 9999 jedn. / 1 sekundę – 24 h. </w:t>
            </w:r>
          </w:p>
          <w:p w:rsidRPr="00D64822" w:rsidR="00966F7C" w:rsidP="00966F7C" w:rsidRDefault="00966F7C" w14:paraId="5287B744" w14:textId="0DBA780B">
            <w:pPr>
              <w:rPr>
                <w:rFonts w:ascii="Aptos" w:hAnsi="Aptos"/>
                <w:sz w:val="20"/>
                <w:szCs w:val="20"/>
                <w:lang w:eastAsia="pl-PL"/>
              </w:rPr>
            </w:pP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Automatyczne obliczanie szybkości.</w:t>
            </w:r>
          </w:p>
        </w:tc>
        <w:tc>
          <w:tcPr>
            <w:tcW w:w="2551" w:type="dxa"/>
            <w:tcMar/>
            <w:vAlign w:val="center"/>
          </w:tcPr>
          <w:p w:rsidRPr="00D64822" w:rsidR="00966F7C" w:rsidP="00563A55" w:rsidRDefault="00B2019D" w14:paraId="3B8E8C23" w14:textId="3823FDCD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966F7C" w:rsidP="00563A55" w:rsidRDefault="00966F7C" w14:paraId="66A2EBC9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0BB2CBD8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966F7C" w:rsidP="00DD67DC" w:rsidRDefault="00966F7C" w14:paraId="1ED55191" w14:textId="3A480A40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966F7C" w:rsidP="00966F7C" w:rsidRDefault="00966F7C" w14:paraId="78A6DB60" w14:textId="6D5036E2">
            <w:pPr>
              <w:rPr>
                <w:rFonts w:ascii="Aptos" w:hAnsi="Aptos"/>
                <w:sz w:val="20"/>
                <w:szCs w:val="20"/>
                <w:lang w:eastAsia="pl-PL"/>
              </w:rPr>
            </w:pP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Objętość do podania / dawka wlewu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Objętość: od 0,1 do 999 ml / Dawka: od 0,01 do 9999 jednostek dawki</w:t>
            </w:r>
          </w:p>
        </w:tc>
        <w:tc>
          <w:tcPr>
            <w:tcW w:w="2551" w:type="dxa"/>
            <w:tcMar/>
            <w:vAlign w:val="center"/>
          </w:tcPr>
          <w:p w:rsidRPr="00D64822" w:rsidR="00966F7C" w:rsidP="00563A55" w:rsidRDefault="00B2019D" w14:paraId="343AD874" w14:textId="60FA33B5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966F7C" w:rsidP="00563A55" w:rsidRDefault="00966F7C" w14:paraId="508EA73E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614D0F3C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966F7C" w:rsidP="00DD67DC" w:rsidRDefault="00966F7C" w14:paraId="41FAD228" w14:textId="78BE0C44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966F7C" w:rsidP="00966F7C" w:rsidRDefault="00966F7C" w14:paraId="4E5D1C60" w14:textId="17B7872B">
            <w:pPr>
              <w:rPr>
                <w:rFonts w:ascii="Aptos" w:hAnsi="Aptos"/>
                <w:sz w:val="20"/>
                <w:szCs w:val="20"/>
                <w:lang w:eastAsia="pl-PL"/>
              </w:rPr>
            </w:pP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Napełnianie: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3 tryby: obowiązkowy, nieobowiązkowy, zalecany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Szybkość przepływu: od 250 do 1200 ml/h, w zależności od pojemności strzykawki</w:t>
            </w:r>
          </w:p>
        </w:tc>
        <w:tc>
          <w:tcPr>
            <w:tcW w:w="2551" w:type="dxa"/>
            <w:tcMar/>
            <w:vAlign w:val="center"/>
          </w:tcPr>
          <w:p w:rsidRPr="00D64822" w:rsidR="00966F7C" w:rsidP="00563A55" w:rsidRDefault="00204720" w14:paraId="65167287" w14:textId="12230931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966F7C" w:rsidP="00563A55" w:rsidRDefault="00966F7C" w14:paraId="29349536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0B0894E8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966F7C" w:rsidP="00DD67DC" w:rsidRDefault="00966F7C" w14:paraId="6E5E9F82" w14:textId="2DE996CC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966F7C" w:rsidP="00966F7C" w:rsidRDefault="00966F7C" w14:paraId="3F1A354A" w14:textId="4E0B9AF1">
            <w:pPr>
              <w:rPr>
                <w:rFonts w:ascii="Aptos" w:hAnsi="Aptos"/>
                <w:sz w:val="20"/>
                <w:szCs w:val="20"/>
                <w:lang w:eastAsia="pl-PL"/>
              </w:rPr>
            </w:pP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Urządzenie umożliwiające prowadzenie terapii infuzyjnej z wykorzystaniem różnych trybów pracy, w tym: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a) Tryb objętościowy: możliwość ustawienia szybkości infuzji w jednostkach ml/h,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b) Tryb dawkowania z przeliczeniami jednostek masy/czasu, w tym co najmniej: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 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 xml:space="preserve">• </w:t>
            </w:r>
            <w:proofErr w:type="spellStart"/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μg</w:t>
            </w:r>
            <w:proofErr w:type="spellEnd"/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 xml:space="preserve">/min, mg/min, </w:t>
            </w:r>
            <w:proofErr w:type="spellStart"/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mUnit</w:t>
            </w:r>
            <w:proofErr w:type="spellEnd"/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 xml:space="preserve">/min, Unit/min, </w:t>
            </w:r>
            <w:proofErr w:type="spellStart"/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mEq</w:t>
            </w:r>
            <w:proofErr w:type="spellEnd"/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/min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 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 xml:space="preserve">• </w:t>
            </w:r>
            <w:proofErr w:type="spellStart"/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ng</w:t>
            </w:r>
            <w:proofErr w:type="spellEnd"/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 xml:space="preserve">/h, </w:t>
            </w:r>
            <w:proofErr w:type="spellStart"/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μg</w:t>
            </w:r>
            <w:proofErr w:type="spellEnd"/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 xml:space="preserve">/h, mg/h, g/h, </w:t>
            </w:r>
            <w:proofErr w:type="spellStart"/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mmol</w:t>
            </w:r>
            <w:proofErr w:type="spellEnd"/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 xml:space="preserve">/h, Unit/h, kcal/h, </w:t>
            </w:r>
            <w:proofErr w:type="spellStart"/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mEq</w:t>
            </w:r>
            <w:proofErr w:type="spellEnd"/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/h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 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• mg/24h, kcal/24h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 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 xml:space="preserve">• </w:t>
            </w:r>
            <w:proofErr w:type="spellStart"/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ng</w:t>
            </w:r>
            <w:proofErr w:type="spellEnd"/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 xml:space="preserve">/kg/h, </w:t>
            </w:r>
            <w:proofErr w:type="spellStart"/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μg</w:t>
            </w:r>
            <w:proofErr w:type="spellEnd"/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 xml:space="preserve">/kg/h, mg/kg/h, g/kg/h, </w:t>
            </w:r>
            <w:proofErr w:type="spellStart"/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mUnit</w:t>
            </w:r>
            <w:proofErr w:type="spellEnd"/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 xml:space="preserve">/kg/h, Unit/kg/h, </w:t>
            </w:r>
            <w:proofErr w:type="spellStart"/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mEq</w:t>
            </w:r>
            <w:proofErr w:type="spellEnd"/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 xml:space="preserve">/kg/h, 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ml/kg/h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 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• mg/m²/h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 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 xml:space="preserve">• mg/kg/24h, g/kg/24h, </w:t>
            </w:r>
            <w:proofErr w:type="spellStart"/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mmol</w:t>
            </w:r>
            <w:proofErr w:type="spellEnd"/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/kg/24h, ml/kg/24h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 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• mg/m²/24h (inne jednostki możliwe zgodnie z protokołem leczniczym)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c) Możliwość ustawienia rozcieńczenia: w formacie jednostki/ml lub jednostki/objętość,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d) Możliwość prowadzenia infuzji z dawką nasycającą lub bez,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e) Tryb objętość/czas: możliwość zaprogramowania objętości od 0,1 do 99,9 ml oraz czasu infuzji w zakresie od 1 minuty do 96 godzin,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f) Tryb dawka/czas: możliwość zaprogramowania dawki w zakresie od 0,01 do 9999 jednostek oraz czasu infuzji od 1 minuty do 96 godzin,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g) Możliwość ustawienia limitu objętości: od 0,1 ml do co najmniej 999 ml.</w:t>
            </w:r>
          </w:p>
        </w:tc>
        <w:tc>
          <w:tcPr>
            <w:tcW w:w="2551" w:type="dxa"/>
            <w:tcMar/>
            <w:vAlign w:val="center"/>
          </w:tcPr>
          <w:p w:rsidRPr="00D64822" w:rsidR="00966F7C" w:rsidP="00563A55" w:rsidRDefault="00B2019D" w14:paraId="6B7B237C" w14:textId="42CBF1A4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966F7C" w:rsidP="00563A55" w:rsidRDefault="00966F7C" w14:paraId="6E0D3073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0AF1B128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966F7C" w:rsidP="00DD67DC" w:rsidRDefault="00966F7C" w14:paraId="00396B72" w14:textId="754AE0F4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966F7C" w:rsidP="00966F7C" w:rsidRDefault="004D48E7" w14:paraId="35DBB647" w14:textId="59B63AB8">
            <w:pPr>
              <w:rPr>
                <w:rFonts w:ascii="Aptos" w:hAnsi="Aptos"/>
                <w:b/>
                <w:bCs/>
                <w:sz w:val="20"/>
                <w:szCs w:val="20"/>
                <w:lang w:eastAsia="pl-PL"/>
              </w:rPr>
            </w:pPr>
            <w:r w:rsidRPr="00D64822">
              <w:rPr>
                <w:rFonts w:ascii="Aptos" w:hAnsi="Aptos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System ostrzegający o zmianach ciśnienia, dzięki któremu można przewidzieć ryzyko zatkania lub potencjalnego wycieku z przewodu do wlewu.</w:t>
            </w:r>
          </w:p>
        </w:tc>
        <w:tc>
          <w:tcPr>
            <w:tcW w:w="2551" w:type="dxa"/>
            <w:tcMar/>
            <w:vAlign w:val="center"/>
          </w:tcPr>
          <w:p w:rsidRPr="00D64822" w:rsidR="00966F7C" w:rsidP="00563A55" w:rsidRDefault="00B2019D" w14:paraId="48EC8EAC" w14:textId="5503F7DE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4D48E7" w:rsidP="00563A55" w:rsidRDefault="004D48E7" w14:paraId="362A2C49" w14:textId="586828ED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5087C3D4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966F7C" w:rsidP="00DD67DC" w:rsidRDefault="00966F7C" w14:paraId="6E1DA58E" w14:textId="54A4F078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966F7C" w:rsidP="00966F7C" w:rsidRDefault="00966F7C" w14:paraId="02651F77" w14:textId="570420B8">
            <w:pPr>
              <w:rPr>
                <w:rFonts w:ascii="Aptos" w:hAnsi="Aptos"/>
                <w:sz w:val="20"/>
                <w:szCs w:val="20"/>
                <w:lang w:eastAsia="pl-PL"/>
              </w:rPr>
            </w:pP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Tryby ciśnienia: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a) Praca w trybie zmiennym lub z wyborem trzech wcześniej zdefiniowanych poziomów ciśnienia, w zakresie od 50 do 900 mmHg, z regulacją co najmniej: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– co 25 mmHg w zakresie 50–250 mmHg,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– co 50 mmHg w zakresie 250–900 mmHg,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lub równoważną, ciągłą regulacją w zakresie 50–900 mmHg.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 xml:space="preserve">b) Pompa wyposażona w dynamiczny system monitorowania ciśnienia, </w:t>
            </w:r>
            <w:proofErr w:type="spellStart"/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otrzegający</w:t>
            </w:r>
            <w:proofErr w:type="spellEnd"/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 xml:space="preserve"> o jego zmianach i potencjalnym ryzyku okluzji lub nieszczelności układu infuzyjnego.</w:t>
            </w:r>
          </w:p>
        </w:tc>
        <w:tc>
          <w:tcPr>
            <w:tcW w:w="2551" w:type="dxa"/>
            <w:tcMar/>
            <w:vAlign w:val="center"/>
          </w:tcPr>
          <w:p w:rsidRPr="00D64822" w:rsidR="00966F7C" w:rsidP="00563A55" w:rsidRDefault="00B2019D" w14:paraId="7C74DAD7" w14:textId="4EA849E4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966F7C" w:rsidP="00563A55" w:rsidRDefault="00966F7C" w14:paraId="29FC564E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2FA9F32D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966F7C" w:rsidP="00DD67DC" w:rsidRDefault="00966F7C" w14:paraId="54FD5BE1" w14:textId="56AA00F0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966F7C" w:rsidP="00966F7C" w:rsidRDefault="00966F7C" w14:paraId="16BAA839" w14:textId="6DAD8673">
            <w:pPr>
              <w:rPr>
                <w:rFonts w:ascii="Aptos" w:hAnsi="Aptos"/>
                <w:sz w:val="20"/>
                <w:szCs w:val="20"/>
                <w:lang w:eastAsia="pl-PL"/>
              </w:rPr>
            </w:pP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Ciągły pomiar ciśnienia w linii zobrazowany  w postaci piktogramu na ekranie pompy.</w:t>
            </w:r>
          </w:p>
        </w:tc>
        <w:tc>
          <w:tcPr>
            <w:tcW w:w="2551" w:type="dxa"/>
            <w:tcMar/>
            <w:vAlign w:val="center"/>
          </w:tcPr>
          <w:p w:rsidRPr="00D64822" w:rsidR="00966F7C" w:rsidP="00563A55" w:rsidRDefault="00B2019D" w14:paraId="11D45240" w14:textId="71490279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966F7C" w:rsidP="00563A55" w:rsidRDefault="00966F7C" w14:paraId="196415ED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4056755C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966F7C" w:rsidP="00DD67DC" w:rsidRDefault="00966F7C" w14:paraId="067F98D2" w14:textId="52F2CCC1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966F7C" w:rsidP="00966F7C" w:rsidRDefault="00966F7C" w14:paraId="68167226" w14:textId="5B76240A">
            <w:pPr>
              <w:rPr>
                <w:rFonts w:ascii="Aptos" w:hAnsi="Aptos"/>
                <w:b/>
                <w:bCs/>
                <w:sz w:val="20"/>
                <w:szCs w:val="20"/>
                <w:lang w:eastAsia="pl-PL"/>
              </w:rPr>
            </w:pPr>
            <w:r w:rsidRPr="00D64822">
              <w:rPr>
                <w:rFonts w:ascii="Aptos" w:hAnsi="Aptos"/>
                <w:b/>
                <w:bCs/>
                <w:sz w:val="20"/>
                <w:szCs w:val="20"/>
              </w:rPr>
              <w:t xml:space="preserve">Ustawianie poziomu ciśnienia okluzji – 22 poziomy,  min. 3 jednostki do wyboru – mmHg, </w:t>
            </w:r>
            <w:proofErr w:type="spellStart"/>
            <w:r w:rsidRPr="00D64822">
              <w:rPr>
                <w:rFonts w:ascii="Aptos" w:hAnsi="Aptos"/>
                <w:b/>
                <w:bCs/>
                <w:sz w:val="20"/>
                <w:szCs w:val="20"/>
              </w:rPr>
              <w:t>kPa</w:t>
            </w:r>
            <w:proofErr w:type="spellEnd"/>
            <w:r w:rsidRPr="00D64822">
              <w:rPr>
                <w:rFonts w:ascii="Aptos" w:hAnsi="Aptos"/>
                <w:b/>
                <w:bCs/>
                <w:sz w:val="20"/>
                <w:szCs w:val="20"/>
              </w:rPr>
              <w:t>, PSI</w:t>
            </w:r>
          </w:p>
        </w:tc>
        <w:tc>
          <w:tcPr>
            <w:tcW w:w="2551" w:type="dxa"/>
            <w:tcMar/>
            <w:vAlign w:val="center"/>
          </w:tcPr>
          <w:p w:rsidRPr="00D64822" w:rsidR="00966F7C" w:rsidP="00563A55" w:rsidRDefault="00024F7E" w14:paraId="40260F0B" w14:textId="64D836B0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 (proszę podać)</w:t>
            </w:r>
          </w:p>
        </w:tc>
        <w:tc>
          <w:tcPr>
            <w:tcW w:w="4253" w:type="dxa"/>
            <w:tcMar/>
            <w:vAlign w:val="center"/>
          </w:tcPr>
          <w:p w:rsidRPr="00D64822" w:rsidR="002C0569" w:rsidP="00563A55" w:rsidRDefault="002C0569" w14:paraId="0F1C00C6" w14:textId="2EF70449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5218EDD3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D14E78" w:rsidP="00DD67DC" w:rsidRDefault="00D14E78" w14:paraId="54862072" w14:textId="47A5F296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D14E78" w:rsidP="00966F7C" w:rsidRDefault="00D14E78" w14:paraId="38978896" w14:textId="1BDFAE43">
            <w:pPr>
              <w:spacing w:after="120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 xml:space="preserve">Sygnalizacja wahań ciśnienia w </w:t>
            </w:r>
            <w:proofErr w:type="spellStart"/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lini</w:t>
            </w:r>
            <w:proofErr w:type="spellEnd"/>
          </w:p>
        </w:tc>
        <w:tc>
          <w:tcPr>
            <w:tcW w:w="2551" w:type="dxa"/>
            <w:tcMar/>
            <w:vAlign w:val="center"/>
          </w:tcPr>
          <w:p w:rsidRPr="00D64822" w:rsidR="00D14E78" w:rsidP="00563A55" w:rsidRDefault="00B2019D" w14:paraId="285FADCC" w14:textId="23EDB587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D14E78" w:rsidP="00563A55" w:rsidRDefault="00D14E78" w14:paraId="799B33A3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2133B0FD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D14E78" w:rsidP="00DD67DC" w:rsidRDefault="00D14E78" w14:paraId="5FFFC5C5" w14:textId="4458429A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D14E78" w:rsidP="00966F7C" w:rsidRDefault="00D14E78" w14:paraId="7252FD71" w14:textId="32CFFD21">
            <w:pPr>
              <w:spacing w:after="120"/>
              <w:rPr>
                <w:rFonts w:ascii="Aptos" w:hAnsi="Aptos"/>
                <w:sz w:val="20"/>
                <w:szCs w:val="20"/>
                <w:lang w:eastAsia="pl-PL"/>
              </w:rPr>
            </w:pP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Funkcja KVO - Zróżnicowana prędkość KVO z możliwością programowania szybkości od 0,1 do 5 ml/h</w:t>
            </w:r>
          </w:p>
        </w:tc>
        <w:tc>
          <w:tcPr>
            <w:tcW w:w="2551" w:type="dxa"/>
            <w:tcMar/>
            <w:vAlign w:val="center"/>
          </w:tcPr>
          <w:p w:rsidRPr="00D64822" w:rsidR="00D14E78" w:rsidP="00563A55" w:rsidRDefault="0065380A" w14:paraId="74D1C0F3" w14:textId="652BD3A1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D14E78" w:rsidP="00563A55" w:rsidRDefault="00D14E78" w14:paraId="2DE40F82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02EC2363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D14E78" w:rsidP="00DD67DC" w:rsidRDefault="00D14E78" w14:paraId="35D3507F" w14:textId="08FFED2F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D14E78" w:rsidP="00966F7C" w:rsidRDefault="00D14E78" w14:paraId="06C3D98E" w14:textId="65245AEA">
            <w:pPr>
              <w:spacing w:after="120"/>
              <w:rPr>
                <w:rFonts w:ascii="Aptos" w:hAnsi="Aptos"/>
                <w:sz w:val="20"/>
                <w:szCs w:val="20"/>
                <w:lang w:eastAsia="pl-PL"/>
              </w:rPr>
            </w:pP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Funkcja – przerwa (</w:t>
            </w:r>
            <w:proofErr w:type="spellStart"/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standby</w:t>
            </w:r>
            <w:proofErr w:type="spellEnd"/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) w zakresie od 1</w:t>
            </w:r>
            <w:r w:rsidRPr="00D64822" w:rsidR="00204720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min do 24 godzin programowany co 1 minutę z funkcją automatycznego startu infuzji po zaprogramowanej przerwie.</w:t>
            </w:r>
          </w:p>
        </w:tc>
        <w:tc>
          <w:tcPr>
            <w:tcW w:w="2551" w:type="dxa"/>
            <w:tcMar/>
            <w:vAlign w:val="center"/>
          </w:tcPr>
          <w:p w:rsidRPr="00D64822" w:rsidR="00D14E78" w:rsidP="00563A55" w:rsidRDefault="0065380A" w14:paraId="227DBFA8" w14:textId="5E990E54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D14E78" w:rsidP="00563A55" w:rsidRDefault="00D14E78" w14:paraId="4D2E43CE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794A951A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D14E78" w:rsidP="00DD67DC" w:rsidRDefault="00D14E78" w14:paraId="5C18E603" w14:textId="5D3AD261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D14E78" w:rsidP="00966F7C" w:rsidRDefault="00D14E78" w14:paraId="423CE1E6" w14:textId="31D597DA">
            <w:pPr>
              <w:spacing w:after="120"/>
              <w:rPr>
                <w:rFonts w:ascii="Aptos" w:hAnsi="Aptos"/>
                <w:sz w:val="20"/>
                <w:szCs w:val="20"/>
                <w:lang w:eastAsia="pl-PL"/>
              </w:rPr>
            </w:pP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Rejestr mogący pomieścić  do 1500 zdarzeń</w:t>
            </w:r>
          </w:p>
        </w:tc>
        <w:tc>
          <w:tcPr>
            <w:tcW w:w="2551" w:type="dxa"/>
            <w:tcMar/>
            <w:vAlign w:val="center"/>
          </w:tcPr>
          <w:p w:rsidRPr="00D64822" w:rsidR="00D14E78" w:rsidP="00563A55" w:rsidRDefault="0065380A" w14:paraId="34B3021B" w14:textId="6F6218B4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D14E78" w:rsidP="00563A55" w:rsidRDefault="00D14E78" w14:paraId="52649F92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52D2483D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D14E78" w:rsidP="00DD67DC" w:rsidRDefault="00D14E78" w14:paraId="169C09A1" w14:textId="34A5B6D2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D14E78" w:rsidP="00D14E78" w:rsidRDefault="00D14E78" w14:paraId="031FF572" w14:textId="77777777">
            <w:pPr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Rejestr zdarzeń i historia pracy urządzenia:</w:t>
            </w:r>
          </w:p>
          <w:p w:rsidRPr="00D64822" w:rsidR="00D14E78" w:rsidP="00D14E78" w:rsidRDefault="00D14E78" w14:paraId="7C17C5B1" w14:textId="77777777">
            <w:pPr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a) Urządzenie przechowuje plik rejestru (historię podań, zdarzeń i interakcji operatora) w pamięci wewnętrznej przez minimum 10 lat od momentu zapisu, niezależnie od stanu zasilania lub pracy akumulatora,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b) Historia pracy jest dostępna w formie graficznej na ekranie urządzenia i obejmuje co najmniej następujące dane: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 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 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- objętość/dawkę infuzji,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 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 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- ciśnienie w układzie infuzyjnym,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 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 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- szybkość przepływu leku,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 xml:space="preserve">c) Dane prezentowane w sposób </w:t>
            </w:r>
            <w:proofErr w:type="spellStart"/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umożliwiajacy</w:t>
            </w:r>
            <w:proofErr w:type="spellEnd"/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 xml:space="preserve"> ich analizę przez personel medyczny.</w:t>
            </w:r>
          </w:p>
          <w:p w:rsidRPr="00D64822" w:rsidR="00D14E78" w:rsidP="00D14E78" w:rsidRDefault="00D14E78" w14:paraId="7B2A27B9" w14:textId="77777777">
            <w:pPr>
              <w:spacing w:after="120"/>
              <w:rPr>
                <w:rFonts w:ascii="Aptos" w:hAnsi="Aptos"/>
                <w:sz w:val="20"/>
                <w:szCs w:val="20"/>
                <w:lang w:eastAsia="pl-PL"/>
              </w:rPr>
            </w:pPr>
          </w:p>
        </w:tc>
        <w:tc>
          <w:tcPr>
            <w:tcW w:w="2551" w:type="dxa"/>
            <w:tcMar/>
            <w:vAlign w:val="center"/>
          </w:tcPr>
          <w:p w:rsidRPr="00D64822" w:rsidR="00D14E78" w:rsidP="00D14E78" w:rsidRDefault="0065380A" w14:paraId="1B42D3ED" w14:textId="64992ECA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D14E78" w:rsidP="00D14E78" w:rsidRDefault="00D14E78" w14:paraId="6DC8FE57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4FF92765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D14E78" w:rsidP="00DD67DC" w:rsidRDefault="00D14E78" w14:paraId="765F5AB4" w14:textId="54635920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D14E78" w:rsidP="00D14E78" w:rsidRDefault="00D14E78" w14:paraId="4327AC44" w14:textId="0FD10B7C">
            <w:pPr>
              <w:rPr>
                <w:rFonts w:ascii="Aptos" w:hAnsi="Aptos"/>
                <w:sz w:val="20"/>
                <w:szCs w:val="20"/>
                <w:lang w:eastAsia="pl-PL"/>
              </w:rPr>
            </w:pP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Urządzenie wyposażone w tryb dzienny i nocny z opcją przełączania między trybami ręcznie i automatycznie</w:t>
            </w:r>
          </w:p>
        </w:tc>
        <w:tc>
          <w:tcPr>
            <w:tcW w:w="2551" w:type="dxa"/>
            <w:tcMar/>
            <w:vAlign w:val="center"/>
          </w:tcPr>
          <w:p w:rsidRPr="00D64822" w:rsidR="00D14E78" w:rsidP="00D14E78" w:rsidRDefault="0065380A" w14:paraId="640896BA" w14:textId="75B59732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D14E78" w:rsidP="00D14E78" w:rsidRDefault="00D14E78" w14:paraId="388B383C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10DEDB5B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D14E78" w:rsidP="00DD67DC" w:rsidRDefault="00D14E78" w14:paraId="779F76BA" w14:textId="025EFB5E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D14E78" w:rsidP="00D14E78" w:rsidRDefault="00D14E78" w14:paraId="3B9AB83B" w14:textId="0EB62289">
            <w:pPr>
              <w:rPr>
                <w:rFonts w:ascii="Aptos" w:hAnsi="Aptos"/>
                <w:sz w:val="20"/>
                <w:szCs w:val="20"/>
                <w:lang w:eastAsia="pl-PL"/>
              </w:rPr>
            </w:pP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Komunikaty tekstowe w języku polskim</w:t>
            </w:r>
          </w:p>
        </w:tc>
        <w:tc>
          <w:tcPr>
            <w:tcW w:w="2551" w:type="dxa"/>
            <w:tcMar/>
            <w:vAlign w:val="center"/>
          </w:tcPr>
          <w:p w:rsidRPr="00D64822" w:rsidR="00D14E78" w:rsidP="00D14E78" w:rsidRDefault="0065380A" w14:paraId="399A703F" w14:textId="17252A74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D14E78" w:rsidP="00D14E78" w:rsidRDefault="00D14E78" w14:paraId="74D0FF4B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708D5769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095C7D" w:rsidP="00DD67DC" w:rsidRDefault="00095C7D" w14:paraId="502AB5EF" w14:textId="10DDF75B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095C7D" w:rsidP="00D14E78" w:rsidRDefault="00095C7D" w14:paraId="119283DE" w14:textId="536D3FDC">
            <w:pPr>
              <w:rPr>
                <w:rFonts w:ascii="Aptos" w:hAnsi="Aptos"/>
                <w:sz w:val="20"/>
                <w:szCs w:val="20"/>
                <w:lang w:eastAsia="pl-PL"/>
              </w:rPr>
            </w:pP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Wyświetlanie trendów objętości, szybkości infuzji oraz ciśnienia Urządzenie wyposażone  w funkcję pozwalającą na konfigurację ustawień oraz zawartości menu użytkownika w sposób dostosowany do jego potrzeb.</w:t>
            </w:r>
          </w:p>
        </w:tc>
        <w:tc>
          <w:tcPr>
            <w:tcW w:w="2551" w:type="dxa"/>
            <w:tcMar/>
            <w:vAlign w:val="center"/>
          </w:tcPr>
          <w:p w:rsidRPr="00D64822" w:rsidR="00095C7D" w:rsidP="00D14E78" w:rsidRDefault="0065380A" w14:paraId="3CD9A0A8" w14:textId="72C758B4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095C7D" w:rsidP="00D14E78" w:rsidRDefault="00095C7D" w14:paraId="03F5320A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7C2BBEB3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095C7D" w:rsidP="00DD67DC" w:rsidRDefault="00095C7D" w14:paraId="751E2AC2" w14:textId="2E670600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095C7D" w:rsidP="00D14E78" w:rsidRDefault="00095C7D" w14:paraId="215B4745" w14:textId="7AA5C15F">
            <w:pPr>
              <w:rPr>
                <w:rFonts w:ascii="Aptos" w:hAnsi="Aptos"/>
                <w:sz w:val="20"/>
                <w:szCs w:val="20"/>
                <w:lang w:eastAsia="pl-PL"/>
              </w:rPr>
            </w:pP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 xml:space="preserve">Biblioteka leków, do </w:t>
            </w:r>
            <w:r w:rsidRPr="00D64822" w:rsidR="00204720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200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 xml:space="preserve"> leków w min. 19 profilach wraz z protokołami infuzji (domyślne przepływy, dawki, prędkości bolusa, stężenia itp.)</w:t>
            </w:r>
          </w:p>
        </w:tc>
        <w:tc>
          <w:tcPr>
            <w:tcW w:w="2551" w:type="dxa"/>
            <w:tcMar/>
            <w:vAlign w:val="center"/>
          </w:tcPr>
          <w:p w:rsidRPr="00D64822" w:rsidR="00095C7D" w:rsidP="00D14E78" w:rsidRDefault="0065380A" w14:paraId="45C9E008" w14:textId="1D76E615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095C7D" w:rsidP="00D14E78" w:rsidRDefault="00095C7D" w14:paraId="6CA4750F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51913155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095C7D" w:rsidP="00DD67DC" w:rsidRDefault="00095C7D" w14:paraId="27B9271E" w14:textId="415DF15C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095C7D" w:rsidP="00D14E78" w:rsidRDefault="00095C7D" w14:paraId="051E6459" w14:textId="1111F4FD">
            <w:pPr>
              <w:rPr>
                <w:rFonts w:ascii="Aptos" w:hAnsi="Aptos"/>
                <w:sz w:val="20"/>
                <w:szCs w:val="20"/>
                <w:lang w:eastAsia="pl-PL"/>
              </w:rPr>
            </w:pP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Sygnalizacja statusu pracy urządzenia: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a) Status pracy pompy sygnalizowany z wykorzystaniem wskaźników świetlnych w odrębnych kolorach, umożliwiających odróżnienie różnych stanów pracy: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– kolor zielony – trwająca infuzja,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– kolor pomarańczowy – alarmy o niskim i średnim priorytecie,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– kolor czerwony – alarmy o wysokim priorytecie;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wskaźniki świetlne widoczne z odległości co najmniej 4 metrów.</w:t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D64822">
              <w:rPr>
                <w:rFonts w:ascii="Aptos" w:hAnsi="Aptos"/>
                <w:kern w:val="0"/>
                <w:sz w:val="20"/>
                <w:szCs w:val="20"/>
                <w:lang w:eastAsia="pl-PL"/>
                <w14:ligatures w14:val="none"/>
              </w:rPr>
              <w:t>b) Wszystkie alarmy sygnalizowane są za pomocą wskaźników świetlnych, komunikatów tekstowych, piktogramów oraz sygnałów dźwiękowych.</w:t>
            </w:r>
          </w:p>
        </w:tc>
        <w:tc>
          <w:tcPr>
            <w:tcW w:w="2551" w:type="dxa"/>
            <w:tcMar/>
            <w:vAlign w:val="center"/>
          </w:tcPr>
          <w:p w:rsidRPr="00D64822" w:rsidR="00095C7D" w:rsidP="00D14E78" w:rsidRDefault="0065380A" w14:paraId="79FC5184" w14:textId="49B78753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095C7D" w:rsidP="00D14E78" w:rsidRDefault="00095C7D" w14:paraId="5FD03514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423A1CF0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D14E78" w:rsidP="00DD67DC" w:rsidRDefault="00D14E78" w14:paraId="0FFF0B78" w14:textId="4C013B93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D14E78" w:rsidP="00D14E78" w:rsidRDefault="00D14E78" w14:paraId="5DB38048" w14:textId="77777777">
            <w:pPr>
              <w:spacing w:after="60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Akustyczno-optyczny system alarmów i ostrzeżeń</w:t>
            </w:r>
          </w:p>
          <w:p w:rsidRPr="00D64822" w:rsidR="00D14E78" w:rsidP="00D14E78" w:rsidRDefault="00D14E78" w14:paraId="4A4D3740" w14:textId="77777777">
            <w:pPr>
              <w:spacing w:after="60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- Alarm pustej strzykawki</w:t>
            </w:r>
          </w:p>
          <w:p w:rsidRPr="00D64822" w:rsidR="00D14E78" w:rsidP="00D14E78" w:rsidRDefault="00D14E78" w14:paraId="0F4D7E13" w14:textId="77777777">
            <w:pPr>
              <w:spacing w:after="60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- Alarm przypominający –zatrzymana infuzja</w:t>
            </w:r>
          </w:p>
          <w:p w:rsidRPr="00D64822" w:rsidR="00D14E78" w:rsidP="00D14E78" w:rsidRDefault="00D14E78" w14:paraId="2AEA60FE" w14:textId="77777777">
            <w:pPr>
              <w:spacing w:after="60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- Alarm okluzji</w:t>
            </w:r>
          </w:p>
          <w:p w:rsidRPr="00D64822" w:rsidR="00D14E78" w:rsidP="00D14E78" w:rsidRDefault="00D14E78" w14:paraId="7C97ABB0" w14:textId="77777777">
            <w:pPr>
              <w:spacing w:after="60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- Alarm rozłączenia linii – spadku ciśnienia</w:t>
            </w:r>
          </w:p>
          <w:p w:rsidRPr="00D64822" w:rsidR="00D14E78" w:rsidP="00D14E78" w:rsidRDefault="00D14E78" w14:paraId="61A280B6" w14:textId="77777777">
            <w:pPr>
              <w:spacing w:after="60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- Alarm rozładowanego akumulatora</w:t>
            </w:r>
          </w:p>
          <w:p w:rsidRPr="00D64822" w:rsidR="00D14E78" w:rsidP="00D14E78" w:rsidRDefault="00D14E78" w14:paraId="3230B709" w14:textId="77777777">
            <w:pPr>
              <w:spacing w:after="60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- Alarm braku lub źle założonej strzykawki</w:t>
            </w:r>
          </w:p>
          <w:p w:rsidRPr="00D64822" w:rsidR="00D14E78" w:rsidP="00D14E78" w:rsidRDefault="00D14E78" w14:paraId="11EAA3D9" w14:textId="77777777">
            <w:pPr>
              <w:spacing w:after="60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- Alarm otwartego uchwytu komory strzykawki</w:t>
            </w:r>
          </w:p>
          <w:p w:rsidRPr="00D64822" w:rsidR="00D14E78" w:rsidP="00D14E78" w:rsidRDefault="00D14E78" w14:paraId="719C6B8F" w14:textId="77777777">
            <w:pPr>
              <w:spacing w:after="60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- Alarm informujący o uszkodzeniu urządzenia</w:t>
            </w:r>
          </w:p>
          <w:p w:rsidRPr="00D64822" w:rsidR="00D14E78" w:rsidP="00D14E78" w:rsidRDefault="00D14E78" w14:paraId="18D741D7" w14:textId="77777777">
            <w:pPr>
              <w:spacing w:after="60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- Alarm zbliżającego się rozładowania akumulatora</w:t>
            </w:r>
          </w:p>
          <w:p w:rsidRPr="00D64822" w:rsidR="00D14E78" w:rsidP="00D14E78" w:rsidRDefault="00D14E78" w14:paraId="1505965F" w14:textId="77777777">
            <w:pPr>
              <w:spacing w:after="60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- Alarm blokady klawiatury</w:t>
            </w:r>
          </w:p>
          <w:p w:rsidRPr="00D64822" w:rsidR="00D14E78" w:rsidP="00D14E78" w:rsidRDefault="00D14E78" w14:paraId="12667602" w14:textId="77777777">
            <w:pPr>
              <w:spacing w:after="60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 xml:space="preserve">- Alarm niepotwierdzonego programowania infuzji </w:t>
            </w:r>
          </w:p>
          <w:p w:rsidRPr="00D64822" w:rsidR="00D14E78" w:rsidP="00D14E78" w:rsidRDefault="00D14E78" w14:paraId="4667BDF4" w14:textId="7FC9E6BE">
            <w:pPr>
              <w:jc w:val="both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- Alarm bliskiego końca infuzji z możliwością zaprogramowania czasu w zakresie 1-30 minut,</w:t>
            </w:r>
          </w:p>
        </w:tc>
        <w:tc>
          <w:tcPr>
            <w:tcW w:w="2551" w:type="dxa"/>
            <w:tcMar/>
            <w:vAlign w:val="center"/>
          </w:tcPr>
          <w:p w:rsidRPr="00D64822" w:rsidR="00D14E78" w:rsidP="00D14E78" w:rsidRDefault="00D14E78" w14:paraId="14EF1ECC" w14:textId="5AEEADAE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D14E78" w:rsidP="00D14E78" w:rsidRDefault="00D14E78" w14:paraId="347D33D4" w14:textId="368AD84E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4E10A5F4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D14E78" w:rsidP="00DD67DC" w:rsidRDefault="00D14E78" w14:paraId="606146E3" w14:textId="6657587B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D14E78" w:rsidP="00D14E78" w:rsidRDefault="00D14E78" w14:paraId="0EE962C9" w14:textId="706712B1">
            <w:pPr>
              <w:jc w:val="both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Możliwość łączenia pomp w moduły bez użycia dodatkowych elementów</w:t>
            </w:r>
          </w:p>
        </w:tc>
        <w:tc>
          <w:tcPr>
            <w:tcW w:w="2551" w:type="dxa"/>
            <w:tcMar/>
            <w:vAlign w:val="center"/>
          </w:tcPr>
          <w:p w:rsidRPr="00D64822" w:rsidR="00D14E78" w:rsidP="00D14E78" w:rsidRDefault="00D14E78" w14:paraId="2A7F7736" w14:textId="746BEBE4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D14E78" w:rsidP="00D14E78" w:rsidRDefault="00D14E78" w14:paraId="770D2350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620B40D9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024F7E" w:rsidP="00DD67DC" w:rsidRDefault="00024F7E" w14:paraId="4722D4F4" w14:textId="3FEA5DF8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024F7E" w:rsidP="00D14E78" w:rsidRDefault="00024F7E" w14:paraId="1E506A5C" w14:textId="4E6F7616">
            <w:pPr>
              <w:jc w:val="both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 w:eastAsia="Batang"/>
                <w:sz w:val="20"/>
                <w:szCs w:val="20"/>
              </w:rPr>
              <w:t>Możliwość komunikacji przez porty RS232</w:t>
            </w:r>
          </w:p>
        </w:tc>
        <w:tc>
          <w:tcPr>
            <w:tcW w:w="2551" w:type="dxa"/>
            <w:tcMar/>
            <w:vAlign w:val="center"/>
          </w:tcPr>
          <w:p w:rsidRPr="00D64822" w:rsidR="00024F7E" w:rsidP="00D14E78" w:rsidRDefault="0065380A" w14:paraId="0E0D1D79" w14:textId="13432585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024F7E" w:rsidP="00D14E78" w:rsidRDefault="00024F7E" w14:paraId="28305A77" w14:textId="77777777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BD7078" w:rsidTr="4AAFB3D1" w14:paraId="4B9F1D83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D14E78" w:rsidP="00DD67DC" w:rsidRDefault="00D14E78" w14:paraId="71723A1B" w14:textId="1D23D387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D14E78" w:rsidP="00D14E78" w:rsidRDefault="00024F7E" w14:paraId="462C1F6F" w14:textId="5D9FE8B0">
            <w:pPr>
              <w:jc w:val="both"/>
              <w:rPr>
                <w:rFonts w:ascii="Aptos" w:hAnsi="Aptos"/>
                <w:b/>
                <w:bCs/>
                <w:sz w:val="20"/>
                <w:szCs w:val="20"/>
              </w:rPr>
            </w:pPr>
            <w:r w:rsidRPr="00D64822">
              <w:rPr>
                <w:rFonts w:ascii="Aptos" w:hAnsi="Aptos"/>
                <w:b/>
                <w:bCs/>
                <w:sz w:val="20"/>
                <w:szCs w:val="20"/>
              </w:rPr>
              <w:t xml:space="preserve">Możliwość montażu pomp do posiadanych przez oddziały szpitalne stacji dokujących </w:t>
            </w:r>
            <w:proofErr w:type="spellStart"/>
            <w:r w:rsidRPr="00D64822">
              <w:rPr>
                <w:rFonts w:ascii="Aptos" w:hAnsi="Aptos"/>
                <w:b/>
                <w:bCs/>
                <w:sz w:val="20"/>
                <w:szCs w:val="20"/>
              </w:rPr>
              <w:t>Agilia</w:t>
            </w:r>
            <w:proofErr w:type="spellEnd"/>
            <w:r w:rsidRPr="00D64822">
              <w:rPr>
                <w:rFonts w:ascii="Aptos" w:hAnsi="Aptos"/>
                <w:b/>
                <w:bCs/>
                <w:sz w:val="20"/>
                <w:szCs w:val="20"/>
              </w:rPr>
              <w:t xml:space="preserve"> Link 4,6,8</w:t>
            </w:r>
          </w:p>
        </w:tc>
        <w:tc>
          <w:tcPr>
            <w:tcW w:w="2551" w:type="dxa"/>
            <w:tcMar/>
            <w:vAlign w:val="center"/>
          </w:tcPr>
          <w:p w:rsidRPr="00D64822" w:rsidR="00D14E78" w:rsidP="00D14E78" w:rsidRDefault="0065380A" w14:paraId="25BEC84E" w14:textId="0C3A343C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D64822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2C0569" w:rsidP="00D14E78" w:rsidRDefault="002C0569" w14:paraId="23173027" w14:textId="556C257B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</w:tr>
      <w:tr w:rsidRPr="00D64822" w:rsidR="002B0056" w:rsidTr="4AAFB3D1" w14:paraId="076C5480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2B0056" w:rsidP="00DD67DC" w:rsidRDefault="002B0056" w14:paraId="1C990E97" w14:textId="0276B31F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D64822" w:rsidR="002B0056" w:rsidP="00D14E78" w:rsidRDefault="00D64822" w14:paraId="36D180F6" w14:textId="59CDEFA4">
            <w:pPr>
              <w:jc w:val="both"/>
              <w:rPr>
                <w:rFonts w:ascii="Aptos" w:hAnsi="Aptos"/>
                <w:b/>
                <w:bCs/>
                <w:sz w:val="20"/>
                <w:szCs w:val="20"/>
              </w:rPr>
            </w:pPr>
            <w:r w:rsidRPr="007C3D43">
              <w:rPr>
                <w:rFonts w:ascii="Aptos" w:hAnsi="Aptos" w:eastAsia="Calibri"/>
                <w:sz w:val="20"/>
                <w:szCs w:val="20"/>
                <w:lang w:eastAsia="hi-IN" w:bidi="hi-IN"/>
              </w:rPr>
              <w:t>Czas reakcji serwisu liczony od chwili zgłoszenia do chwili przystąpienia do usunięcia usterki max. 48 godz. w dni robocze</w:t>
            </w:r>
          </w:p>
        </w:tc>
        <w:tc>
          <w:tcPr>
            <w:tcW w:w="2551" w:type="dxa"/>
            <w:tcMar/>
            <w:vAlign w:val="center"/>
          </w:tcPr>
          <w:p w:rsidRPr="00D64822" w:rsidR="002B0056" w:rsidP="00D14E78" w:rsidRDefault="00D64822" w14:paraId="1E4D297F" w14:textId="57C51B0E">
            <w:pPr>
              <w:jc w:val="center"/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2B0056" w:rsidP="00D14E78" w:rsidRDefault="002B0056" w14:paraId="113DB598" w14:textId="77777777">
            <w:pPr>
              <w:jc w:val="center"/>
              <w:rPr>
                <w:rFonts w:ascii="Aptos" w:hAnsi="Aptos" w:eastAsia="Lucida Sans Unicode"/>
                <w:sz w:val="20"/>
                <w:szCs w:val="20"/>
                <w:lang w:eastAsia="zh-CN" w:bidi="hi-IN"/>
              </w:rPr>
            </w:pPr>
          </w:p>
        </w:tc>
      </w:tr>
      <w:tr w:rsidRPr="00D64822" w:rsidR="00D64822" w:rsidTr="4AAFB3D1" w14:paraId="789B6BAE" w14:textId="77777777">
        <w:trPr>
          <w:jc w:val="center"/>
        </w:trPr>
        <w:tc>
          <w:tcPr>
            <w:tcW w:w="664" w:type="dxa"/>
            <w:tcMar/>
            <w:vAlign w:val="center"/>
          </w:tcPr>
          <w:p w:rsidRPr="00DD67DC" w:rsidR="00D64822" w:rsidP="00DD67DC" w:rsidRDefault="00D64822" w14:paraId="2D041022" w14:textId="1EC24DE8">
            <w:pPr>
              <w:pStyle w:val="Akapitzlist"/>
              <w:numPr>
                <w:ilvl w:val="0"/>
                <w:numId w:val="23"/>
              </w:num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6561" w:type="dxa"/>
            <w:tcMar/>
            <w:vAlign w:val="center"/>
          </w:tcPr>
          <w:p w:rsidRPr="007C3D43" w:rsidR="00D64822" w:rsidP="00D14E78" w:rsidRDefault="00D64822" w14:paraId="0FEBB54E" w14:textId="5028D26B">
            <w:pPr>
              <w:jc w:val="both"/>
              <w:rPr>
                <w:rFonts w:ascii="Aptos" w:hAnsi="Aptos" w:eastAsia="Calibri"/>
                <w:sz w:val="20"/>
                <w:szCs w:val="20"/>
                <w:lang w:eastAsia="hi-IN" w:bidi="hi-IN"/>
              </w:rPr>
            </w:pPr>
            <w:r w:rsidRPr="007C3D43">
              <w:rPr>
                <w:rFonts w:ascii="Aptos" w:hAnsi="Aptos"/>
                <w:sz w:val="20"/>
                <w:szCs w:val="20"/>
              </w:rPr>
              <w:t>Dostępność części zamiennych przez minimum 8 lat od daty podpisania protokołu odbioru.</w:t>
            </w:r>
          </w:p>
        </w:tc>
        <w:tc>
          <w:tcPr>
            <w:tcW w:w="2551" w:type="dxa"/>
            <w:tcMar/>
            <w:vAlign w:val="center"/>
          </w:tcPr>
          <w:p w:rsidR="00D64822" w:rsidP="00D14E78" w:rsidRDefault="00D64822" w14:paraId="609739B7" w14:textId="17778D90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4AAFB3D1" w:rsidR="5E44C28C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4253" w:type="dxa"/>
            <w:tcMar/>
            <w:vAlign w:val="center"/>
          </w:tcPr>
          <w:p w:rsidRPr="00D64822" w:rsidR="00D64822" w:rsidP="00D14E78" w:rsidRDefault="00D64822" w14:paraId="248E0D28" w14:textId="77777777">
            <w:pPr>
              <w:jc w:val="center"/>
              <w:rPr>
                <w:rFonts w:ascii="Aptos" w:hAnsi="Aptos" w:eastAsia="Lucida Sans Unicode"/>
                <w:sz w:val="20"/>
                <w:szCs w:val="20"/>
                <w:lang w:eastAsia="zh-CN" w:bidi="hi-IN"/>
              </w:rPr>
            </w:pPr>
          </w:p>
        </w:tc>
      </w:tr>
    </w:tbl>
    <w:p w:rsidRPr="00D64822" w:rsidR="000649B2" w:rsidP="00841B6C" w:rsidRDefault="000649B2" w14:paraId="23266DE8" w14:textId="409E4342">
      <w:pPr>
        <w:contextualSpacing/>
        <w:rPr>
          <w:rFonts w:ascii="Aptos" w:hAnsi="Aptos"/>
          <w:sz w:val="20"/>
          <w:szCs w:val="20"/>
        </w:rPr>
      </w:pPr>
    </w:p>
    <w:sectPr w:rsidRPr="00D64822" w:rsidR="000649B2" w:rsidSect="00D827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77925" w:rsidP="00655CBD" w:rsidRDefault="00577925" w14:paraId="54468112" w14:textId="77777777">
      <w:r>
        <w:separator/>
      </w:r>
    </w:p>
  </w:endnote>
  <w:endnote w:type="continuationSeparator" w:id="0">
    <w:p w:rsidR="00577925" w:rsidP="00655CBD" w:rsidRDefault="00577925" w14:paraId="38046A2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F03B8" w:rsidRDefault="00EF03B8" w14:paraId="39229E6B" w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0046664"/>
      <w:docPartObj>
        <w:docPartGallery w:val="Page Numbers (Bottom of Page)"/>
        <w:docPartUnique/>
      </w:docPartObj>
      <w:rPr>
        <w:rFonts w:ascii="Calibri Light" w:hAnsi="Calibri Light" w:eastAsia="" w:cs="Calibri Light" w:asciiTheme="majorAscii" w:hAnsiTheme="majorAscii" w:eastAsiaTheme="majorEastAsia" w:cstheme="majorAscii"/>
        <w:lang w:val="pl-PL"/>
      </w:rPr>
    </w:sdtPr>
    <w:sdtEndPr>
      <w:rPr>
        <w:rFonts w:ascii="Calibri Light" w:hAnsi="Calibri Light" w:eastAsia="" w:cs="Calibri Light" w:asciiTheme="majorAscii" w:hAnsiTheme="majorAscii" w:eastAsiaTheme="majorEastAsia" w:cstheme="majorAscii"/>
        <w:lang w:val="pl-PL"/>
      </w:rPr>
    </w:sdtEndPr>
    <w:sdtContent>
      <w:p w:rsidRPr="00FC50E6" w:rsidR="005D5182" w:rsidRDefault="005D5182" w14:paraId="0DB76789" w14:textId="77777777">
        <w:pPr>
          <w:pStyle w:val="Stopka"/>
          <w:jc w:val="right"/>
          <w:rPr>
            <w:rFonts w:asciiTheme="majorHAnsi" w:hAnsiTheme="majorHAnsi" w:eastAsiaTheme="majorEastAsia" w:cstheme="majorHAnsi"/>
          </w:rPr>
        </w:pPr>
        <w:r w:rsidRPr="00FC50E6">
          <w:rPr>
            <w:rFonts w:asciiTheme="majorHAnsi" w:hAnsiTheme="majorHAnsi" w:eastAsiaTheme="majorEastAsia" w:cstheme="majorHAnsi"/>
            <w:lang w:val="pl-PL"/>
          </w:rPr>
          <w:t xml:space="preserve">str. </w:t>
        </w:r>
        <w:r w:rsidRPr="00FC50E6">
          <w:rPr>
            <w:rFonts w:asciiTheme="majorHAnsi" w:hAnsiTheme="majorHAnsi" w:eastAsiaTheme="minorEastAsia" w:cstheme="majorHAnsi"/>
          </w:rPr>
          <w:fldChar w:fldCharType="begin"/>
        </w:r>
        <w:r w:rsidRPr="00FC50E6">
          <w:rPr>
            <w:rFonts w:asciiTheme="majorHAnsi" w:hAnsiTheme="majorHAnsi" w:cstheme="majorHAnsi"/>
          </w:rPr>
          <w:instrText>PAGE    \* MERGEFORMAT</w:instrText>
        </w:r>
        <w:r w:rsidRPr="00FC50E6">
          <w:rPr>
            <w:rFonts w:asciiTheme="majorHAnsi" w:hAnsiTheme="majorHAnsi" w:eastAsiaTheme="minorEastAsia" w:cstheme="majorHAnsi"/>
          </w:rPr>
          <w:fldChar w:fldCharType="separate"/>
        </w:r>
        <w:r w:rsidRPr="00DD5A39" w:rsidR="00DD5A39">
          <w:rPr>
            <w:rFonts w:asciiTheme="majorHAnsi" w:hAnsiTheme="majorHAnsi" w:eastAsiaTheme="majorEastAsia" w:cstheme="majorHAnsi"/>
            <w:noProof/>
            <w:lang w:val="pl-PL"/>
          </w:rPr>
          <w:t>2</w:t>
        </w:r>
        <w:r w:rsidRPr="00FC50E6">
          <w:rPr>
            <w:rFonts w:asciiTheme="majorHAnsi" w:hAnsiTheme="majorHAnsi" w:eastAsiaTheme="majorEastAsia" w:cstheme="majorHAnsi"/>
          </w:rPr>
          <w:fldChar w:fldCharType="end"/>
        </w:r>
      </w:p>
    </w:sdtContent>
  </w:sdt>
  <w:p w:rsidR="005D5182" w:rsidRDefault="005D5182" w14:paraId="500BBCDF" w14:textId="77777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F03B8" w:rsidRDefault="00EF03B8" w14:paraId="0917D609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77925" w:rsidP="00655CBD" w:rsidRDefault="00577925" w14:paraId="4D9A7958" w14:textId="77777777">
      <w:r>
        <w:separator/>
      </w:r>
    </w:p>
  </w:footnote>
  <w:footnote w:type="continuationSeparator" w:id="0">
    <w:p w:rsidR="00577925" w:rsidP="00655CBD" w:rsidRDefault="00577925" w14:paraId="10E2E4E4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F03B8" w:rsidRDefault="00EF03B8" w14:paraId="30650FC8" w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F03B8" w:rsidRDefault="00EF03B8" w14:paraId="1E9409D9" w14:textId="7777777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D827AC" w:rsidP="00D827AC" w:rsidRDefault="00EF03B8" w14:paraId="23C88252" w14:textId="727ADC94">
    <w:pPr>
      <w:jc w:val="both"/>
    </w:pPr>
    <w:r>
      <w:rPr>
        <w:noProof/>
      </w:rPr>
      <w:drawing>
        <wp:inline distT="0" distB="0" distL="0" distR="0" wp14:anchorId="6E6D02A7" wp14:editId="670BBD1F">
          <wp:extent cx="5759450" cy="575310"/>
          <wp:effectExtent l="0" t="0" r="0" b="0"/>
          <wp:docPr id="702494025" name="Obraz 2" descr="The image displays a series of logos representing the Polish Ministry of Health and the European Union's Next Generation EU program.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 descr="The image displays a series of logos representing the Polish Ministry of Health and the European Union's Next Generation EU program.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Nagwek3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</w:abstractNum>
  <w:abstractNum w:abstractNumId="3" w15:restartNumberingAfterBreak="0">
    <w:nsid w:val="05280C1D"/>
    <w:multiLevelType w:val="hybridMultilevel"/>
    <w:tmpl w:val="4502AB82"/>
    <w:lvl w:ilvl="0" w:tplc="3D708146">
      <w:start w:val="1"/>
      <w:numFmt w:val="decimal"/>
      <w:lvlText w:val="%1."/>
      <w:lvlJc w:val="left"/>
      <w:pPr>
        <w:ind w:left="715" w:hanging="360"/>
      </w:pPr>
      <w:rPr>
        <w:rFonts w:hint="default" w:asciiTheme="majorHAnsi" w:hAnsiTheme="majorHAnsi" w:cstheme="maj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717F7A"/>
    <w:multiLevelType w:val="hybridMultilevel"/>
    <w:tmpl w:val="57B888FA"/>
    <w:lvl w:ilvl="0" w:tplc="839A4CD8">
      <w:start w:val="1"/>
      <w:numFmt w:val="decimal"/>
      <w:lvlText w:val="%1."/>
      <w:lvlJc w:val="left"/>
      <w:pPr>
        <w:ind w:left="715" w:hanging="360"/>
      </w:pPr>
      <w:rPr>
        <w:rFonts w:hint="default" w:asciiTheme="majorHAnsi" w:hAnsiTheme="majorHAnsi" w:cstheme="maj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2672D2"/>
    <w:multiLevelType w:val="hybridMultilevel"/>
    <w:tmpl w:val="76BA4C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E4326"/>
    <w:multiLevelType w:val="hybridMultilevel"/>
    <w:tmpl w:val="76BA4C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AF3871"/>
    <w:multiLevelType w:val="hybridMultilevel"/>
    <w:tmpl w:val="B49A00E6"/>
    <w:lvl w:ilvl="0" w:tplc="37FC4F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C2483F"/>
    <w:multiLevelType w:val="hybridMultilevel"/>
    <w:tmpl w:val="CFC2049A"/>
    <w:lvl w:ilvl="0" w:tplc="0415000F">
      <w:start w:val="1"/>
      <w:numFmt w:val="decimal"/>
      <w:lvlText w:val="%1."/>
      <w:lvlJc w:val="left"/>
      <w:pPr>
        <w:ind w:left="1075" w:hanging="360"/>
      </w:pPr>
    </w:lvl>
    <w:lvl w:ilvl="1" w:tplc="04150019" w:tentative="1">
      <w:start w:val="1"/>
      <w:numFmt w:val="lowerLetter"/>
      <w:lvlText w:val="%2."/>
      <w:lvlJc w:val="left"/>
      <w:pPr>
        <w:ind w:left="1795" w:hanging="360"/>
      </w:pPr>
    </w:lvl>
    <w:lvl w:ilvl="2" w:tplc="0415001B" w:tentative="1">
      <w:start w:val="1"/>
      <w:numFmt w:val="lowerRoman"/>
      <w:lvlText w:val="%3."/>
      <w:lvlJc w:val="right"/>
      <w:pPr>
        <w:ind w:left="2515" w:hanging="180"/>
      </w:pPr>
    </w:lvl>
    <w:lvl w:ilvl="3" w:tplc="0415000F" w:tentative="1">
      <w:start w:val="1"/>
      <w:numFmt w:val="decimal"/>
      <w:lvlText w:val="%4."/>
      <w:lvlJc w:val="left"/>
      <w:pPr>
        <w:ind w:left="3235" w:hanging="360"/>
      </w:pPr>
    </w:lvl>
    <w:lvl w:ilvl="4" w:tplc="04150019" w:tentative="1">
      <w:start w:val="1"/>
      <w:numFmt w:val="lowerLetter"/>
      <w:lvlText w:val="%5."/>
      <w:lvlJc w:val="left"/>
      <w:pPr>
        <w:ind w:left="3955" w:hanging="360"/>
      </w:pPr>
    </w:lvl>
    <w:lvl w:ilvl="5" w:tplc="0415001B" w:tentative="1">
      <w:start w:val="1"/>
      <w:numFmt w:val="lowerRoman"/>
      <w:lvlText w:val="%6."/>
      <w:lvlJc w:val="right"/>
      <w:pPr>
        <w:ind w:left="4675" w:hanging="180"/>
      </w:pPr>
    </w:lvl>
    <w:lvl w:ilvl="6" w:tplc="0415000F" w:tentative="1">
      <w:start w:val="1"/>
      <w:numFmt w:val="decimal"/>
      <w:lvlText w:val="%7."/>
      <w:lvlJc w:val="left"/>
      <w:pPr>
        <w:ind w:left="5395" w:hanging="360"/>
      </w:pPr>
    </w:lvl>
    <w:lvl w:ilvl="7" w:tplc="04150019" w:tentative="1">
      <w:start w:val="1"/>
      <w:numFmt w:val="lowerLetter"/>
      <w:lvlText w:val="%8."/>
      <w:lvlJc w:val="left"/>
      <w:pPr>
        <w:ind w:left="6115" w:hanging="360"/>
      </w:pPr>
    </w:lvl>
    <w:lvl w:ilvl="8" w:tplc="0415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9" w15:restartNumberingAfterBreak="0">
    <w:nsid w:val="2C085E6F"/>
    <w:multiLevelType w:val="multilevel"/>
    <w:tmpl w:val="4AB2E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 w:cs="OpenSymbol"/>
        <w:sz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hint="default" w:ascii="OpenSymbol" w:hAnsi="OpenSymbol" w:cs="OpenSymbol"/>
        <w:sz w:val="2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hint="default" w:ascii="OpenSymbol" w:hAnsi="OpenSymbol" w:cs="OpenSymbol"/>
        <w:sz w:val="2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 w:cs="OpenSymbol"/>
        <w:sz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hint="default" w:ascii="OpenSymbol" w:hAnsi="OpenSymbol" w:cs="OpenSymbol"/>
        <w:sz w:val="2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hint="default" w:ascii="OpenSymbol" w:hAnsi="OpenSymbol" w:cs="OpenSymbol"/>
        <w:sz w:val="2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 w:cs="OpenSymbol"/>
        <w:sz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hint="default" w:ascii="OpenSymbol" w:hAnsi="OpenSymbol" w:cs="OpenSymbol"/>
        <w:sz w:val="2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hint="default" w:ascii="OpenSymbol" w:hAnsi="OpenSymbol" w:cs="OpenSymbol"/>
        <w:sz w:val="20"/>
      </w:rPr>
    </w:lvl>
  </w:abstractNum>
  <w:abstractNum w:abstractNumId="10" w15:restartNumberingAfterBreak="0">
    <w:nsid w:val="314725E6"/>
    <w:multiLevelType w:val="hybridMultilevel"/>
    <w:tmpl w:val="E842D3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496F57"/>
    <w:multiLevelType w:val="hybridMultilevel"/>
    <w:tmpl w:val="4502AB82"/>
    <w:lvl w:ilvl="0" w:tplc="3D708146">
      <w:start w:val="1"/>
      <w:numFmt w:val="decimal"/>
      <w:lvlText w:val="%1."/>
      <w:lvlJc w:val="left"/>
      <w:pPr>
        <w:ind w:left="715" w:hanging="360"/>
      </w:pPr>
      <w:rPr>
        <w:rFonts w:hint="default" w:asciiTheme="majorHAnsi" w:hAnsiTheme="majorHAnsi" w:cstheme="maj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686899"/>
    <w:multiLevelType w:val="hybridMultilevel"/>
    <w:tmpl w:val="0DBE7B4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40140896"/>
    <w:multiLevelType w:val="hybridMultilevel"/>
    <w:tmpl w:val="2ED040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C7740F7"/>
    <w:multiLevelType w:val="hybridMultilevel"/>
    <w:tmpl w:val="8B7A29C0"/>
    <w:lvl w:ilvl="0" w:tplc="42D8E83A">
      <w:start w:val="1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5" w:hanging="360"/>
      </w:p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 w:tentative="1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 w:tentative="1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5" w15:restartNumberingAfterBreak="0">
    <w:nsid w:val="4CDB3A67"/>
    <w:multiLevelType w:val="hybridMultilevel"/>
    <w:tmpl w:val="9B7ECE4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52623F49"/>
    <w:multiLevelType w:val="hybridMultilevel"/>
    <w:tmpl w:val="20909728"/>
    <w:lvl w:ilvl="0" w:tplc="0415000F">
      <w:start w:val="1"/>
      <w:numFmt w:val="decimal"/>
      <w:lvlText w:val="%1."/>
      <w:lvlJc w:val="left"/>
      <w:pPr>
        <w:ind w:left="1075" w:hanging="360"/>
      </w:pPr>
    </w:lvl>
    <w:lvl w:ilvl="1" w:tplc="04150019" w:tentative="1">
      <w:start w:val="1"/>
      <w:numFmt w:val="lowerLetter"/>
      <w:lvlText w:val="%2."/>
      <w:lvlJc w:val="left"/>
      <w:pPr>
        <w:ind w:left="1795" w:hanging="360"/>
      </w:pPr>
    </w:lvl>
    <w:lvl w:ilvl="2" w:tplc="0415001B" w:tentative="1">
      <w:start w:val="1"/>
      <w:numFmt w:val="lowerRoman"/>
      <w:lvlText w:val="%3."/>
      <w:lvlJc w:val="right"/>
      <w:pPr>
        <w:ind w:left="2515" w:hanging="180"/>
      </w:pPr>
    </w:lvl>
    <w:lvl w:ilvl="3" w:tplc="0415000F" w:tentative="1">
      <w:start w:val="1"/>
      <w:numFmt w:val="decimal"/>
      <w:lvlText w:val="%4."/>
      <w:lvlJc w:val="left"/>
      <w:pPr>
        <w:ind w:left="3235" w:hanging="360"/>
      </w:pPr>
    </w:lvl>
    <w:lvl w:ilvl="4" w:tplc="04150019" w:tentative="1">
      <w:start w:val="1"/>
      <w:numFmt w:val="lowerLetter"/>
      <w:lvlText w:val="%5."/>
      <w:lvlJc w:val="left"/>
      <w:pPr>
        <w:ind w:left="3955" w:hanging="360"/>
      </w:pPr>
    </w:lvl>
    <w:lvl w:ilvl="5" w:tplc="0415001B" w:tentative="1">
      <w:start w:val="1"/>
      <w:numFmt w:val="lowerRoman"/>
      <w:lvlText w:val="%6."/>
      <w:lvlJc w:val="right"/>
      <w:pPr>
        <w:ind w:left="4675" w:hanging="180"/>
      </w:pPr>
    </w:lvl>
    <w:lvl w:ilvl="6" w:tplc="0415000F" w:tentative="1">
      <w:start w:val="1"/>
      <w:numFmt w:val="decimal"/>
      <w:lvlText w:val="%7."/>
      <w:lvlJc w:val="left"/>
      <w:pPr>
        <w:ind w:left="5395" w:hanging="360"/>
      </w:pPr>
    </w:lvl>
    <w:lvl w:ilvl="7" w:tplc="04150019" w:tentative="1">
      <w:start w:val="1"/>
      <w:numFmt w:val="lowerLetter"/>
      <w:lvlText w:val="%8."/>
      <w:lvlJc w:val="left"/>
      <w:pPr>
        <w:ind w:left="6115" w:hanging="360"/>
      </w:pPr>
    </w:lvl>
    <w:lvl w:ilvl="8" w:tplc="0415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17" w15:restartNumberingAfterBreak="0">
    <w:nsid w:val="545040CC"/>
    <w:multiLevelType w:val="hybridMultilevel"/>
    <w:tmpl w:val="1AEC5312"/>
    <w:lvl w:ilvl="0" w:tplc="708C4054">
      <w:start w:val="1"/>
      <w:numFmt w:val="decimal"/>
      <w:lvlText w:val="%1."/>
      <w:lvlJc w:val="left"/>
      <w:pPr>
        <w:ind w:left="715" w:hanging="360"/>
      </w:pPr>
      <w:rPr>
        <w:rFonts w:hint="default" w:asciiTheme="majorHAnsi" w:hAnsiTheme="majorHAnsi" w:cstheme="maj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ED3AE9"/>
    <w:multiLevelType w:val="hybridMultilevel"/>
    <w:tmpl w:val="5B566618"/>
    <w:lvl w:ilvl="0" w:tplc="3C10C438">
      <w:start w:val="1"/>
      <w:numFmt w:val="decimal"/>
      <w:lvlText w:val="%1."/>
      <w:lvlJc w:val="left"/>
      <w:pPr>
        <w:ind w:left="715" w:hanging="360"/>
      </w:pPr>
      <w:rPr>
        <w:rFonts w:hint="default" w:asciiTheme="majorHAnsi" w:hAnsiTheme="majorHAnsi" w:cstheme="maj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ED6892"/>
    <w:multiLevelType w:val="hybridMultilevel"/>
    <w:tmpl w:val="CE701B7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61F4189C"/>
    <w:multiLevelType w:val="hybridMultilevel"/>
    <w:tmpl w:val="BAD895F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698F53C5"/>
    <w:multiLevelType w:val="hybridMultilevel"/>
    <w:tmpl w:val="505E9E2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7756006A"/>
    <w:multiLevelType w:val="hybridMultilevel"/>
    <w:tmpl w:val="5B566618"/>
    <w:lvl w:ilvl="0" w:tplc="3C10C438">
      <w:start w:val="1"/>
      <w:numFmt w:val="decimal"/>
      <w:lvlText w:val="%1."/>
      <w:lvlJc w:val="left"/>
      <w:pPr>
        <w:ind w:left="715" w:hanging="360"/>
      </w:pPr>
      <w:rPr>
        <w:rFonts w:hint="default" w:asciiTheme="majorHAnsi" w:hAnsiTheme="majorHAnsi" w:cstheme="maj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9435877">
    <w:abstractNumId w:val="2"/>
  </w:num>
  <w:num w:numId="2" w16cid:durableId="1347570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7371098">
    <w:abstractNumId w:val="22"/>
  </w:num>
  <w:num w:numId="4" w16cid:durableId="1241674174">
    <w:abstractNumId w:val="10"/>
  </w:num>
  <w:num w:numId="5" w16cid:durableId="1408959481">
    <w:abstractNumId w:val="3"/>
  </w:num>
  <w:num w:numId="6" w16cid:durableId="134614953">
    <w:abstractNumId w:val="17"/>
  </w:num>
  <w:num w:numId="7" w16cid:durableId="1159997613">
    <w:abstractNumId w:val="4"/>
  </w:num>
  <w:num w:numId="8" w16cid:durableId="285551449">
    <w:abstractNumId w:val="18"/>
  </w:num>
  <w:num w:numId="9" w16cid:durableId="1906640541">
    <w:abstractNumId w:val="7"/>
  </w:num>
  <w:num w:numId="10" w16cid:durableId="697387419">
    <w:abstractNumId w:val="21"/>
  </w:num>
  <w:num w:numId="11" w16cid:durableId="698631529">
    <w:abstractNumId w:val="20"/>
  </w:num>
  <w:num w:numId="12" w16cid:durableId="2052223779">
    <w:abstractNumId w:val="15"/>
  </w:num>
  <w:num w:numId="13" w16cid:durableId="1485973150">
    <w:abstractNumId w:val="19"/>
  </w:num>
  <w:num w:numId="14" w16cid:durableId="1990549973">
    <w:abstractNumId w:val="12"/>
  </w:num>
  <w:num w:numId="15" w16cid:durableId="263076319">
    <w:abstractNumId w:val="14"/>
  </w:num>
  <w:num w:numId="16" w16cid:durableId="493959183">
    <w:abstractNumId w:val="11"/>
  </w:num>
  <w:num w:numId="17" w16cid:durableId="1707216109">
    <w:abstractNumId w:val="8"/>
  </w:num>
  <w:num w:numId="18" w16cid:durableId="1045830503">
    <w:abstractNumId w:val="16"/>
  </w:num>
  <w:num w:numId="19" w16cid:durableId="948003846">
    <w:abstractNumId w:val="5"/>
  </w:num>
  <w:num w:numId="20" w16cid:durableId="1429616280">
    <w:abstractNumId w:val="6"/>
  </w:num>
  <w:num w:numId="21" w16cid:durableId="1450054644">
    <w:abstractNumId w:val="1"/>
  </w:num>
  <w:num w:numId="22" w16cid:durableId="2026442082">
    <w:abstractNumId w:val="9"/>
  </w:num>
  <w:num w:numId="23" w16cid:durableId="1775898509">
    <w:abstractNumId w:val="13"/>
  </w:num>
  <w:numIdMacAtCleanup w:val="8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0406"/>
    <w:rsid w:val="00003ACE"/>
    <w:rsid w:val="00017B70"/>
    <w:rsid w:val="00024F7E"/>
    <w:rsid w:val="00026CC0"/>
    <w:rsid w:val="00053E85"/>
    <w:rsid w:val="00054D2A"/>
    <w:rsid w:val="00064801"/>
    <w:rsid w:val="000649B2"/>
    <w:rsid w:val="000750A4"/>
    <w:rsid w:val="000864C2"/>
    <w:rsid w:val="00092BF7"/>
    <w:rsid w:val="00095C7D"/>
    <w:rsid w:val="000A46F0"/>
    <w:rsid w:val="000A4D8D"/>
    <w:rsid w:val="000A6DA6"/>
    <w:rsid w:val="000B3348"/>
    <w:rsid w:val="000E0E18"/>
    <w:rsid w:val="000E11E6"/>
    <w:rsid w:val="000E41AA"/>
    <w:rsid w:val="000E43B2"/>
    <w:rsid w:val="000F0406"/>
    <w:rsid w:val="000F6EFE"/>
    <w:rsid w:val="00106DEE"/>
    <w:rsid w:val="0012562D"/>
    <w:rsid w:val="0013066A"/>
    <w:rsid w:val="0014005B"/>
    <w:rsid w:val="00141BD7"/>
    <w:rsid w:val="00151A77"/>
    <w:rsid w:val="00152775"/>
    <w:rsid w:val="00152864"/>
    <w:rsid w:val="00160470"/>
    <w:rsid w:val="0016462A"/>
    <w:rsid w:val="00172F66"/>
    <w:rsid w:val="00191095"/>
    <w:rsid w:val="001A71AB"/>
    <w:rsid w:val="001B1360"/>
    <w:rsid w:val="001D1833"/>
    <w:rsid w:val="001D2150"/>
    <w:rsid w:val="001D53CA"/>
    <w:rsid w:val="001D5870"/>
    <w:rsid w:val="001E01E9"/>
    <w:rsid w:val="001E354B"/>
    <w:rsid w:val="001F368B"/>
    <w:rsid w:val="001F480C"/>
    <w:rsid w:val="001F59FC"/>
    <w:rsid w:val="002021A0"/>
    <w:rsid w:val="00204720"/>
    <w:rsid w:val="00210608"/>
    <w:rsid w:val="00214E69"/>
    <w:rsid w:val="002173BD"/>
    <w:rsid w:val="0022269D"/>
    <w:rsid w:val="00230183"/>
    <w:rsid w:val="00235617"/>
    <w:rsid w:val="00237D2E"/>
    <w:rsid w:val="00246EE0"/>
    <w:rsid w:val="00250480"/>
    <w:rsid w:val="00254800"/>
    <w:rsid w:val="002607AE"/>
    <w:rsid w:val="002850E5"/>
    <w:rsid w:val="0029009B"/>
    <w:rsid w:val="0029123B"/>
    <w:rsid w:val="002966D1"/>
    <w:rsid w:val="00296E00"/>
    <w:rsid w:val="002A4C44"/>
    <w:rsid w:val="002B0056"/>
    <w:rsid w:val="002B3D9F"/>
    <w:rsid w:val="002C0569"/>
    <w:rsid w:val="002D0A32"/>
    <w:rsid w:val="002D5008"/>
    <w:rsid w:val="002D5A4F"/>
    <w:rsid w:val="002E2D31"/>
    <w:rsid w:val="002E612A"/>
    <w:rsid w:val="002E72CF"/>
    <w:rsid w:val="002F1BA8"/>
    <w:rsid w:val="002F3C77"/>
    <w:rsid w:val="002F4F03"/>
    <w:rsid w:val="003007FB"/>
    <w:rsid w:val="0031748E"/>
    <w:rsid w:val="0032099B"/>
    <w:rsid w:val="0033367F"/>
    <w:rsid w:val="00372B5E"/>
    <w:rsid w:val="00373207"/>
    <w:rsid w:val="00381A34"/>
    <w:rsid w:val="00382C28"/>
    <w:rsid w:val="003839CD"/>
    <w:rsid w:val="003940DF"/>
    <w:rsid w:val="003B24DA"/>
    <w:rsid w:val="003B32C2"/>
    <w:rsid w:val="003B5444"/>
    <w:rsid w:val="003C609A"/>
    <w:rsid w:val="003D3A2A"/>
    <w:rsid w:val="003D698A"/>
    <w:rsid w:val="003E1107"/>
    <w:rsid w:val="003E24F3"/>
    <w:rsid w:val="003E38BA"/>
    <w:rsid w:val="003E5E84"/>
    <w:rsid w:val="003E6AA9"/>
    <w:rsid w:val="003F2E6D"/>
    <w:rsid w:val="003F3536"/>
    <w:rsid w:val="003F5301"/>
    <w:rsid w:val="004059C6"/>
    <w:rsid w:val="00417542"/>
    <w:rsid w:val="00425E9D"/>
    <w:rsid w:val="00426D22"/>
    <w:rsid w:val="00430D02"/>
    <w:rsid w:val="004400A6"/>
    <w:rsid w:val="00440FC1"/>
    <w:rsid w:val="004433E4"/>
    <w:rsid w:val="00470E6D"/>
    <w:rsid w:val="00474966"/>
    <w:rsid w:val="00484F0D"/>
    <w:rsid w:val="00495A84"/>
    <w:rsid w:val="004A4072"/>
    <w:rsid w:val="004A6F68"/>
    <w:rsid w:val="004B1521"/>
    <w:rsid w:val="004B2F4C"/>
    <w:rsid w:val="004B4966"/>
    <w:rsid w:val="004C4575"/>
    <w:rsid w:val="004C48AC"/>
    <w:rsid w:val="004C5586"/>
    <w:rsid w:val="004C5C73"/>
    <w:rsid w:val="004D456E"/>
    <w:rsid w:val="004D48E7"/>
    <w:rsid w:val="004D574B"/>
    <w:rsid w:val="004E0CE5"/>
    <w:rsid w:val="004E268D"/>
    <w:rsid w:val="005000B1"/>
    <w:rsid w:val="00504FB1"/>
    <w:rsid w:val="005072D8"/>
    <w:rsid w:val="00510CBE"/>
    <w:rsid w:val="00523166"/>
    <w:rsid w:val="00524D86"/>
    <w:rsid w:val="00537323"/>
    <w:rsid w:val="00540786"/>
    <w:rsid w:val="00542586"/>
    <w:rsid w:val="00545D5E"/>
    <w:rsid w:val="0056069C"/>
    <w:rsid w:val="00563A55"/>
    <w:rsid w:val="0056644C"/>
    <w:rsid w:val="005738E7"/>
    <w:rsid w:val="005756FB"/>
    <w:rsid w:val="00577925"/>
    <w:rsid w:val="00580D63"/>
    <w:rsid w:val="00581E87"/>
    <w:rsid w:val="00586D49"/>
    <w:rsid w:val="00596C6A"/>
    <w:rsid w:val="005C7247"/>
    <w:rsid w:val="005D5182"/>
    <w:rsid w:val="005E1DF1"/>
    <w:rsid w:val="005F6FE1"/>
    <w:rsid w:val="006150CD"/>
    <w:rsid w:val="00617379"/>
    <w:rsid w:val="0063020C"/>
    <w:rsid w:val="0063118A"/>
    <w:rsid w:val="00636428"/>
    <w:rsid w:val="00645B94"/>
    <w:rsid w:val="0065380A"/>
    <w:rsid w:val="00655CBD"/>
    <w:rsid w:val="00664EE2"/>
    <w:rsid w:val="00665271"/>
    <w:rsid w:val="00667CBD"/>
    <w:rsid w:val="0067137A"/>
    <w:rsid w:val="00682EAD"/>
    <w:rsid w:val="006955B2"/>
    <w:rsid w:val="006A10C3"/>
    <w:rsid w:val="006A2DFA"/>
    <w:rsid w:val="006A3A0D"/>
    <w:rsid w:val="006A3A62"/>
    <w:rsid w:val="006A431E"/>
    <w:rsid w:val="006A7649"/>
    <w:rsid w:val="006B3532"/>
    <w:rsid w:val="006B4C07"/>
    <w:rsid w:val="006B5684"/>
    <w:rsid w:val="006C470E"/>
    <w:rsid w:val="006D4D34"/>
    <w:rsid w:val="006E497A"/>
    <w:rsid w:val="006F084C"/>
    <w:rsid w:val="006F1D61"/>
    <w:rsid w:val="006F2ADE"/>
    <w:rsid w:val="007020BB"/>
    <w:rsid w:val="00702DBB"/>
    <w:rsid w:val="007035D3"/>
    <w:rsid w:val="0070625D"/>
    <w:rsid w:val="00710C86"/>
    <w:rsid w:val="00711674"/>
    <w:rsid w:val="00720A5B"/>
    <w:rsid w:val="00724664"/>
    <w:rsid w:val="007409BA"/>
    <w:rsid w:val="00741275"/>
    <w:rsid w:val="0074555E"/>
    <w:rsid w:val="007458C7"/>
    <w:rsid w:val="007640DC"/>
    <w:rsid w:val="00764889"/>
    <w:rsid w:val="0077053E"/>
    <w:rsid w:val="007921FC"/>
    <w:rsid w:val="007B12B3"/>
    <w:rsid w:val="007C0526"/>
    <w:rsid w:val="007C3EB3"/>
    <w:rsid w:val="007D589F"/>
    <w:rsid w:val="007E2EF2"/>
    <w:rsid w:val="007F4CBE"/>
    <w:rsid w:val="00805EBD"/>
    <w:rsid w:val="00806FBC"/>
    <w:rsid w:val="00814BEA"/>
    <w:rsid w:val="00824155"/>
    <w:rsid w:val="0082443F"/>
    <w:rsid w:val="00832336"/>
    <w:rsid w:val="00833345"/>
    <w:rsid w:val="00841365"/>
    <w:rsid w:val="00841B6C"/>
    <w:rsid w:val="00843963"/>
    <w:rsid w:val="00854CCE"/>
    <w:rsid w:val="00862083"/>
    <w:rsid w:val="008710F1"/>
    <w:rsid w:val="0087449E"/>
    <w:rsid w:val="00875CE3"/>
    <w:rsid w:val="0087607F"/>
    <w:rsid w:val="00890990"/>
    <w:rsid w:val="00893738"/>
    <w:rsid w:val="008A132E"/>
    <w:rsid w:val="008A6200"/>
    <w:rsid w:val="008A666E"/>
    <w:rsid w:val="008A7C92"/>
    <w:rsid w:val="008B2282"/>
    <w:rsid w:val="008B394C"/>
    <w:rsid w:val="008B736F"/>
    <w:rsid w:val="008C01AF"/>
    <w:rsid w:val="008D0A8A"/>
    <w:rsid w:val="008D1481"/>
    <w:rsid w:val="008D1571"/>
    <w:rsid w:val="008D3CAD"/>
    <w:rsid w:val="008D64C9"/>
    <w:rsid w:val="008E433C"/>
    <w:rsid w:val="008F5B03"/>
    <w:rsid w:val="00906AA4"/>
    <w:rsid w:val="00907249"/>
    <w:rsid w:val="00920E99"/>
    <w:rsid w:val="00921397"/>
    <w:rsid w:val="009250F2"/>
    <w:rsid w:val="0092774F"/>
    <w:rsid w:val="0093282C"/>
    <w:rsid w:val="00932D8F"/>
    <w:rsid w:val="009351BE"/>
    <w:rsid w:val="00937031"/>
    <w:rsid w:val="009375EE"/>
    <w:rsid w:val="0094264B"/>
    <w:rsid w:val="009511D3"/>
    <w:rsid w:val="00952968"/>
    <w:rsid w:val="00961780"/>
    <w:rsid w:val="009618A0"/>
    <w:rsid w:val="00966F7C"/>
    <w:rsid w:val="00974DA8"/>
    <w:rsid w:val="00976D79"/>
    <w:rsid w:val="0098440B"/>
    <w:rsid w:val="0099039F"/>
    <w:rsid w:val="00990932"/>
    <w:rsid w:val="009A2883"/>
    <w:rsid w:val="009B2F03"/>
    <w:rsid w:val="009B7C73"/>
    <w:rsid w:val="009F1963"/>
    <w:rsid w:val="00A0721A"/>
    <w:rsid w:val="00A073A1"/>
    <w:rsid w:val="00A304BE"/>
    <w:rsid w:val="00A30728"/>
    <w:rsid w:val="00A34518"/>
    <w:rsid w:val="00A478EC"/>
    <w:rsid w:val="00A53ADE"/>
    <w:rsid w:val="00A56842"/>
    <w:rsid w:val="00A67B9C"/>
    <w:rsid w:val="00A70B4E"/>
    <w:rsid w:val="00A71364"/>
    <w:rsid w:val="00A76FDB"/>
    <w:rsid w:val="00A86904"/>
    <w:rsid w:val="00A97744"/>
    <w:rsid w:val="00AA2D4A"/>
    <w:rsid w:val="00AB72FF"/>
    <w:rsid w:val="00AC3537"/>
    <w:rsid w:val="00AD1FFB"/>
    <w:rsid w:val="00AD7F3C"/>
    <w:rsid w:val="00AE0874"/>
    <w:rsid w:val="00AF6A93"/>
    <w:rsid w:val="00B16974"/>
    <w:rsid w:val="00B2019D"/>
    <w:rsid w:val="00B24653"/>
    <w:rsid w:val="00B25EE8"/>
    <w:rsid w:val="00B3077D"/>
    <w:rsid w:val="00B4244F"/>
    <w:rsid w:val="00B4731A"/>
    <w:rsid w:val="00B6096D"/>
    <w:rsid w:val="00B72ACC"/>
    <w:rsid w:val="00B90D55"/>
    <w:rsid w:val="00B9164D"/>
    <w:rsid w:val="00BC34E5"/>
    <w:rsid w:val="00BC422F"/>
    <w:rsid w:val="00BD3A53"/>
    <w:rsid w:val="00BD7078"/>
    <w:rsid w:val="00BE1167"/>
    <w:rsid w:val="00BE288C"/>
    <w:rsid w:val="00BF4947"/>
    <w:rsid w:val="00BF760D"/>
    <w:rsid w:val="00C078B0"/>
    <w:rsid w:val="00C11802"/>
    <w:rsid w:val="00C1184A"/>
    <w:rsid w:val="00C14792"/>
    <w:rsid w:val="00C340FF"/>
    <w:rsid w:val="00C52EC2"/>
    <w:rsid w:val="00C538A7"/>
    <w:rsid w:val="00C55D48"/>
    <w:rsid w:val="00C600F2"/>
    <w:rsid w:val="00C62F73"/>
    <w:rsid w:val="00C64760"/>
    <w:rsid w:val="00C66EAA"/>
    <w:rsid w:val="00C752E9"/>
    <w:rsid w:val="00C76E1A"/>
    <w:rsid w:val="00C8560C"/>
    <w:rsid w:val="00C865A5"/>
    <w:rsid w:val="00C905AA"/>
    <w:rsid w:val="00CA48E4"/>
    <w:rsid w:val="00CC7038"/>
    <w:rsid w:val="00CD4649"/>
    <w:rsid w:val="00CD47CB"/>
    <w:rsid w:val="00CD61CF"/>
    <w:rsid w:val="00CE30C1"/>
    <w:rsid w:val="00CE4ED7"/>
    <w:rsid w:val="00D0179E"/>
    <w:rsid w:val="00D027C9"/>
    <w:rsid w:val="00D10319"/>
    <w:rsid w:val="00D14E78"/>
    <w:rsid w:val="00D232F6"/>
    <w:rsid w:val="00D2356C"/>
    <w:rsid w:val="00D3004F"/>
    <w:rsid w:val="00D322C3"/>
    <w:rsid w:val="00D34D84"/>
    <w:rsid w:val="00D40699"/>
    <w:rsid w:val="00D60093"/>
    <w:rsid w:val="00D64822"/>
    <w:rsid w:val="00D827AC"/>
    <w:rsid w:val="00D87716"/>
    <w:rsid w:val="00D9290F"/>
    <w:rsid w:val="00D9402F"/>
    <w:rsid w:val="00DA41B9"/>
    <w:rsid w:val="00DB00FA"/>
    <w:rsid w:val="00DB29EE"/>
    <w:rsid w:val="00DC191F"/>
    <w:rsid w:val="00DC225C"/>
    <w:rsid w:val="00DD1079"/>
    <w:rsid w:val="00DD1191"/>
    <w:rsid w:val="00DD390D"/>
    <w:rsid w:val="00DD5A39"/>
    <w:rsid w:val="00DD67DC"/>
    <w:rsid w:val="00DE0341"/>
    <w:rsid w:val="00DF4292"/>
    <w:rsid w:val="00E00D06"/>
    <w:rsid w:val="00E022C5"/>
    <w:rsid w:val="00E20DA4"/>
    <w:rsid w:val="00E27458"/>
    <w:rsid w:val="00E30022"/>
    <w:rsid w:val="00E3285B"/>
    <w:rsid w:val="00E3341F"/>
    <w:rsid w:val="00E51601"/>
    <w:rsid w:val="00E575FD"/>
    <w:rsid w:val="00E610F1"/>
    <w:rsid w:val="00E73AE1"/>
    <w:rsid w:val="00E82695"/>
    <w:rsid w:val="00E967F7"/>
    <w:rsid w:val="00EA4EFE"/>
    <w:rsid w:val="00EB4F00"/>
    <w:rsid w:val="00EC757D"/>
    <w:rsid w:val="00ED3319"/>
    <w:rsid w:val="00EF03B8"/>
    <w:rsid w:val="00F06B90"/>
    <w:rsid w:val="00F1059B"/>
    <w:rsid w:val="00F11D70"/>
    <w:rsid w:val="00F215C8"/>
    <w:rsid w:val="00F27262"/>
    <w:rsid w:val="00F33FAE"/>
    <w:rsid w:val="00F36B42"/>
    <w:rsid w:val="00F519D3"/>
    <w:rsid w:val="00F7097F"/>
    <w:rsid w:val="00F80F46"/>
    <w:rsid w:val="00FA46B3"/>
    <w:rsid w:val="00FA50B7"/>
    <w:rsid w:val="00FC1E82"/>
    <w:rsid w:val="00FC4682"/>
    <w:rsid w:val="00FC50E6"/>
    <w:rsid w:val="00FC606A"/>
    <w:rsid w:val="00FC67D2"/>
    <w:rsid w:val="00FC6963"/>
    <w:rsid w:val="00FD13E3"/>
    <w:rsid w:val="00FD2734"/>
    <w:rsid w:val="00FD53E9"/>
    <w:rsid w:val="00FE3B6F"/>
    <w:rsid w:val="00FF61D4"/>
    <w:rsid w:val="2B152267"/>
    <w:rsid w:val="2DE2CC97"/>
    <w:rsid w:val="4AAFB3D1"/>
    <w:rsid w:val="5E44C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8B733F"/>
  <w15:chartTrackingRefBased/>
  <w15:docId w15:val="{841DD8E2-ABCA-453C-9E29-AAF278DC401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alibri Light" w:hAnsi="Calibri Light" w:eastAsiaTheme="minorHAnsi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655CBD"/>
    <w:pPr>
      <w:suppressAutoHyphens/>
      <w:spacing w:after="0" w:line="240" w:lineRule="auto"/>
    </w:pPr>
    <w:rPr>
      <w:rFonts w:ascii="Times New Roman" w:hAnsi="Times New Roman" w:eastAsia="Times New Roman" w:cs="Times New Roman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6D22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655CBD"/>
    <w:pPr>
      <w:keepNext/>
      <w:numPr>
        <w:numId w:val="1"/>
      </w:numPr>
      <w:outlineLvl w:val="2"/>
    </w:pPr>
    <w:rPr>
      <w:rFonts w:ascii="Comic Sans MS" w:hAnsi="Comic Sans MS"/>
      <w:b/>
      <w:bCs/>
      <w:sz w:val="18"/>
      <w:szCs w:val="20"/>
      <w:lang w:val="x-none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3Znak" w:customStyle="1">
    <w:name w:val="Nagłówek 3 Znak"/>
    <w:basedOn w:val="Domylnaczcionkaakapitu"/>
    <w:link w:val="Nagwek3"/>
    <w:rsid w:val="00655CBD"/>
    <w:rPr>
      <w:rFonts w:ascii="Comic Sans MS" w:hAnsi="Comic Sans MS" w:eastAsia="Times New Roman" w:cs="Times New Roman"/>
      <w:b/>
      <w:bCs/>
      <w:sz w:val="18"/>
      <w:szCs w:val="20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655CBD"/>
    <w:pPr>
      <w:tabs>
        <w:tab w:val="center" w:pos="4536"/>
        <w:tab w:val="right" w:pos="9072"/>
      </w:tabs>
      <w:suppressAutoHyphens w:val="0"/>
    </w:pPr>
    <w:rPr>
      <w:sz w:val="20"/>
      <w:szCs w:val="20"/>
      <w:lang w:val="x-none" w:eastAsia="pl-PL"/>
    </w:rPr>
  </w:style>
  <w:style w:type="character" w:styleId="StopkaZnak" w:customStyle="1">
    <w:name w:val="Stopka Znak"/>
    <w:basedOn w:val="Domylnaczcionkaakapitu"/>
    <w:link w:val="Stopka"/>
    <w:uiPriority w:val="99"/>
    <w:rsid w:val="00655CBD"/>
    <w:rPr>
      <w:rFonts w:ascii="Times New Roman" w:hAnsi="Times New Roman" w:eastAsia="Times New Roman" w:cs="Times New Roman"/>
      <w:sz w:val="20"/>
      <w:szCs w:val="20"/>
      <w:lang w:val="x-none"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655CB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55CBD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655CBD"/>
    <w:rPr>
      <w:rFonts w:ascii="Times New Roman" w:hAnsi="Times New Roman" w:eastAsia="Times New Roman" w:cs="Times New Roman"/>
      <w:szCs w:val="24"/>
      <w:lang w:eastAsia="ar-SA"/>
    </w:rPr>
  </w:style>
  <w:style w:type="paragraph" w:styleId="Style17" w:customStyle="1">
    <w:name w:val="Style17"/>
    <w:basedOn w:val="Normalny"/>
    <w:rsid w:val="00426D22"/>
    <w:pPr>
      <w:widowControl w:val="0"/>
      <w:suppressAutoHyphens w:val="0"/>
      <w:autoSpaceDE w:val="0"/>
      <w:autoSpaceDN w:val="0"/>
      <w:adjustRightInd w:val="0"/>
      <w:spacing w:line="211" w:lineRule="exact"/>
    </w:pPr>
    <w:rPr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426D22"/>
    <w:rPr>
      <w:rFonts w:asciiTheme="majorHAnsi" w:hAnsiTheme="majorHAnsi" w:eastAsiaTheme="majorEastAsia" w:cstheme="majorBidi"/>
      <w:color w:val="2E74B5" w:themeColor="accent1" w:themeShade="BF"/>
      <w:sz w:val="26"/>
      <w:szCs w:val="26"/>
      <w:lang w:eastAsia="ar-SA"/>
    </w:rPr>
  </w:style>
  <w:style w:type="paragraph" w:styleId="Bezodstpw">
    <w:name w:val="No Spacing"/>
    <w:uiPriority w:val="1"/>
    <w:qFormat/>
    <w:rsid w:val="00426D22"/>
    <w:pPr>
      <w:spacing w:after="0" w:line="240" w:lineRule="auto"/>
    </w:pPr>
    <w:rPr>
      <w:rFonts w:ascii="Garamond" w:hAnsi="Garamond" w:eastAsia="Times New Roman" w:cs="Times New Roman"/>
      <w:szCs w:val="20"/>
      <w:lang w:eastAsia="pl-PL"/>
    </w:rPr>
  </w:style>
  <w:style w:type="character" w:styleId="FontStyle18" w:customStyle="1">
    <w:name w:val="Font Style18"/>
    <w:rsid w:val="00426D22"/>
    <w:rPr>
      <w:rFonts w:hint="default" w:ascii="Arial" w:hAnsi="Arial" w:cs="Arial"/>
      <w:color w:val="000000"/>
      <w:sz w:val="18"/>
      <w:szCs w:val="18"/>
    </w:rPr>
  </w:style>
  <w:style w:type="character" w:styleId="AkapitzlistZnak" w:customStyle="1">
    <w:name w:val="Akapit z listą Znak"/>
    <w:link w:val="Akapitzlist"/>
    <w:uiPriority w:val="34"/>
    <w:rsid w:val="004E268D"/>
    <w:rPr>
      <w:rFonts w:ascii="Times New Roman" w:hAnsi="Times New Roman" w:eastAsia="Times New Roman" w:cs="Times New Roman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B3077D"/>
    <w:pPr>
      <w:suppressAutoHyphens w:val="0"/>
      <w:spacing w:before="100" w:beforeAutospacing="1" w:after="100" w:afterAutospacing="1"/>
    </w:pPr>
    <w:rPr>
      <w:lang w:eastAsia="pl-PL"/>
    </w:rPr>
  </w:style>
  <w:style w:type="table" w:styleId="Tabela-Siatka">
    <w:name w:val="Table Grid"/>
    <w:basedOn w:val="Standardowy"/>
    <w:uiPriority w:val="39"/>
    <w:rsid w:val="008D1481"/>
    <w:pPr>
      <w:spacing w:after="0" w:line="240" w:lineRule="auto"/>
    </w:pPr>
    <w:rPr>
      <w:rFonts w:asciiTheme="minorHAnsi" w:hAnsiTheme="minorHAnsi"/>
      <w:kern w:val="2"/>
      <w:sz w:val="22"/>
      <w14:ligatures w14:val="standardContextu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8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customXml" Target="../customXml/item3.xml" Id="rId17" /><Relationship Type="http://schemas.openxmlformats.org/officeDocument/2006/relationships/styles" Target="styles.xml" Id="rId2" /><Relationship Type="http://schemas.openxmlformats.org/officeDocument/2006/relationships/customXml" Target="../customXml/item2.xml" Id="rId16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customXml" Target="../customXml/item1.xml" Id="rId1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2CE3566-DB6F-4B7A-9B2C-08059A0D73CF}"/>
</file>

<file path=customXml/itemProps2.xml><?xml version="1.0" encoding="utf-8"?>
<ds:datastoreItem xmlns:ds="http://schemas.openxmlformats.org/officeDocument/2006/customXml" ds:itemID="{58FC6B4E-5A4E-4F19-AD13-477FC1917DE0}"/>
</file>

<file path=customXml/itemProps3.xml><?xml version="1.0" encoding="utf-8"?>
<ds:datastoreItem xmlns:ds="http://schemas.openxmlformats.org/officeDocument/2006/customXml" ds:itemID="{95E97825-7208-429A-A62E-AECF7501E31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Porada</dc:creator>
  <cp:keywords/>
  <dc:description/>
  <cp:lastModifiedBy>Sochacka-Kozielczyk, Matylda</cp:lastModifiedBy>
  <cp:revision>8</cp:revision>
  <dcterms:created xsi:type="dcterms:W3CDTF">2026-01-27T12:33:00Z</dcterms:created>
  <dcterms:modified xsi:type="dcterms:W3CDTF">2026-04-02T11:16:27Z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</Properties>
</file>